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B" w:rsidRDefault="0036732B" w:rsidP="0036732B">
      <w:pPr>
        <w:pStyle w:val="Title"/>
      </w:pPr>
      <w:r>
        <w:t>Equitable Access: Sample Data Displays</w:t>
      </w:r>
    </w:p>
    <w:p w:rsidR="0036732B" w:rsidRDefault="0036732B" w:rsidP="00E97650">
      <w:pPr>
        <w:spacing w:before="120"/>
        <w:rPr>
          <w:b/>
        </w:rPr>
        <w:sectPr w:rsidR="0036732B" w:rsidSect="00E964BA"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360" w:footer="720" w:gutter="0"/>
          <w:cols w:space="720"/>
          <w:titlePg/>
          <w:docGrid w:linePitch="360"/>
        </w:sectPr>
      </w:pPr>
      <w:r w:rsidRPr="0036732B">
        <w:rPr>
          <w:b/>
          <w:noProof/>
          <w:sz w:val="14"/>
        </w:rPr>
        <w:drawing>
          <wp:anchor distT="0" distB="0" distL="114300" distR="114300" simplePos="0" relativeHeight="251662336" behindDoc="0" locked="0" layoutInCell="1" allowOverlap="1" wp14:anchorId="5263B1E4" wp14:editId="55AC6333">
            <wp:simplePos x="0" y="0"/>
            <wp:positionH relativeFrom="column">
              <wp:posOffset>231140</wp:posOffset>
            </wp:positionH>
            <wp:positionV relativeFrom="paragraph">
              <wp:posOffset>269875</wp:posOffset>
            </wp:positionV>
            <wp:extent cx="7744460" cy="4535170"/>
            <wp:effectExtent l="0" t="0" r="27940" b="1778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6732B">
        <w:rPr>
          <w:b/>
        </w:rPr>
        <w:t>Figure 1.</w:t>
      </w:r>
      <w:proofErr w:type="gramEnd"/>
      <w:r w:rsidRPr="0036732B">
        <w:rPr>
          <w:b/>
        </w:rPr>
        <w:t xml:space="preserve"> School Poverty Rate by New Teacher Population</w:t>
      </w:r>
    </w:p>
    <w:p w:rsidR="0036732B" w:rsidRDefault="00235475">
      <w:pPr>
        <w:rPr>
          <w:noProof/>
        </w:rPr>
      </w:pPr>
      <w:proofErr w:type="gramStart"/>
      <w:r>
        <w:rPr>
          <w:b/>
        </w:rPr>
        <w:lastRenderedPageBreak/>
        <w:t>Figure 2.</w:t>
      </w:r>
      <w:proofErr w:type="gramEnd"/>
      <w:r>
        <w:rPr>
          <w:b/>
        </w:rPr>
        <w:t xml:space="preserve"> Breakdowns of Districts A, B, and C</w:t>
      </w:r>
      <w:r>
        <w:rPr>
          <w:noProof/>
        </w:rPr>
        <w:t xml:space="preserve"> </w:t>
      </w:r>
    </w:p>
    <w:p w:rsidR="003B4437" w:rsidRPr="003B4437" w:rsidRDefault="003B4437" w:rsidP="003B4437">
      <w:pPr>
        <w:spacing w:before="240"/>
        <w:rPr>
          <w:i/>
          <w:noProof/>
          <w:sz w:val="22"/>
        </w:rPr>
      </w:pPr>
      <w:r>
        <w:rPr>
          <w:i/>
          <w:noProof/>
          <w:sz w:val="22"/>
        </w:rPr>
        <w:t>Note: Depending on the number of districts in your state, it may be useful to group districts into categories when using this data display.</w:t>
      </w:r>
    </w:p>
    <w:p w:rsidR="003B4437" w:rsidRDefault="003B4437" w:rsidP="003B4437">
      <w:pPr>
        <w:ind w:left="-9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B5970C" wp14:editId="587071B0">
            <wp:simplePos x="0" y="0"/>
            <wp:positionH relativeFrom="column">
              <wp:posOffset>1287145</wp:posOffset>
            </wp:positionH>
            <wp:positionV relativeFrom="paragraph">
              <wp:posOffset>330200</wp:posOffset>
            </wp:positionV>
            <wp:extent cx="3309620" cy="2962275"/>
            <wp:effectExtent l="19050" t="19050" r="24130" b="952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432CE7" wp14:editId="7D1E4599">
            <wp:simplePos x="0" y="0"/>
            <wp:positionH relativeFrom="column">
              <wp:posOffset>3150870</wp:posOffset>
            </wp:positionH>
            <wp:positionV relativeFrom="paragraph">
              <wp:posOffset>3575685</wp:posOffset>
            </wp:positionV>
            <wp:extent cx="3346450" cy="2953385"/>
            <wp:effectExtent l="19050" t="19050" r="25400" b="1841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CCBEE" wp14:editId="75883416">
            <wp:simplePos x="0" y="0"/>
            <wp:positionH relativeFrom="column">
              <wp:posOffset>-262255</wp:posOffset>
            </wp:positionH>
            <wp:positionV relativeFrom="paragraph">
              <wp:posOffset>3588385</wp:posOffset>
            </wp:positionV>
            <wp:extent cx="3346450" cy="2943860"/>
            <wp:effectExtent l="19050" t="19050" r="25400" b="2794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37" w:rsidRDefault="003B4437" w:rsidP="003B4437">
      <w:pPr>
        <w:ind w:left="-90"/>
        <w:rPr>
          <w:b/>
        </w:rPr>
        <w:sectPr w:rsidR="003B4437" w:rsidSect="0036732B">
          <w:headerReference w:type="first" r:id="rId16"/>
          <w:footerReference w:type="first" r:id="rId17"/>
          <w:pgSz w:w="12240" w:h="15840"/>
          <w:pgMar w:top="1440" w:right="1440" w:bottom="1440" w:left="1440" w:header="360" w:footer="720" w:gutter="0"/>
          <w:cols w:space="720"/>
          <w:titlePg/>
          <w:docGrid w:linePitch="360"/>
        </w:sectPr>
      </w:pPr>
    </w:p>
    <w:p w:rsidR="0036732B" w:rsidRDefault="0036732B">
      <w:pPr>
        <w:rPr>
          <w:b/>
        </w:rPr>
      </w:pPr>
      <w:proofErr w:type="gramStart"/>
      <w:r>
        <w:rPr>
          <w:b/>
        </w:rPr>
        <w:lastRenderedPageBreak/>
        <w:t>Figure</w:t>
      </w:r>
      <w:r w:rsidR="003B4437">
        <w:rPr>
          <w:b/>
        </w:rPr>
        <w:t xml:space="preserve"> </w:t>
      </w:r>
      <w:r>
        <w:rPr>
          <w:b/>
        </w:rPr>
        <w:t>3.</w:t>
      </w:r>
      <w:proofErr w:type="gramEnd"/>
      <w:r>
        <w:rPr>
          <w:b/>
        </w:rPr>
        <w:t xml:space="preserve"> </w:t>
      </w:r>
      <w:r w:rsidR="00235475">
        <w:rPr>
          <w:b/>
        </w:rPr>
        <w:t>Average Percentage of Teachers Rated Ineffective by Poverty Quartile</w:t>
      </w:r>
    </w:p>
    <w:p w:rsidR="003B4437" w:rsidRPr="003B4437" w:rsidRDefault="003B4437" w:rsidP="003B4437">
      <w:pPr>
        <w:spacing w:before="240"/>
        <w:rPr>
          <w:i/>
          <w:noProof/>
          <w:sz w:val="22"/>
        </w:rPr>
      </w:pPr>
      <w:r>
        <w:rPr>
          <w:i/>
          <w:noProof/>
          <w:sz w:val="22"/>
        </w:rPr>
        <w:t>Note: Depending on the number of districts in your state, it may be useful to group districts into categories when using this data display.</w:t>
      </w:r>
    </w:p>
    <w:p w:rsidR="0036732B" w:rsidRDefault="0036732B" w:rsidP="0036732B">
      <w:bookmarkStart w:id="0" w:name="_GoBack"/>
      <w:bookmarkEnd w:id="0"/>
    </w:p>
    <w:p w:rsidR="0036732B" w:rsidRDefault="0036732B" w:rsidP="0036732B">
      <w:r>
        <w:rPr>
          <w:noProof/>
        </w:rPr>
        <w:drawing>
          <wp:inline distT="0" distB="0" distL="0" distR="0" wp14:anchorId="3CCD7981" wp14:editId="31BB1EFC">
            <wp:extent cx="8115300" cy="475297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732B" w:rsidRDefault="0036732B" w:rsidP="0036732B"/>
    <w:p w:rsidR="0036732B" w:rsidRDefault="0036732B">
      <w:r>
        <w:br w:type="page"/>
      </w:r>
    </w:p>
    <w:p w:rsidR="0036732B" w:rsidRPr="00385FE6" w:rsidRDefault="00385FE6" w:rsidP="0036732B">
      <w:pPr>
        <w:rPr>
          <w:rFonts w:ascii="Times New Roman Bold" w:hAnsi="Times New Roman Bold"/>
        </w:rPr>
      </w:pPr>
      <w:proofErr w:type="gramStart"/>
      <w:r w:rsidRPr="00385FE6">
        <w:rPr>
          <w:rFonts w:ascii="Times New Roman Bold" w:hAnsi="Times New Roman Bold" w:cs="Times New Roman"/>
          <w:b/>
        </w:rPr>
        <w:lastRenderedPageBreak/>
        <w:t>Table 1.</w:t>
      </w:r>
      <w:proofErr w:type="gramEnd"/>
      <w:r w:rsidRPr="00385FE6">
        <w:rPr>
          <w:rFonts w:ascii="Times New Roman Bold" w:hAnsi="Times New Roman Bold" w:cs="Times New Roman"/>
          <w:b/>
        </w:rPr>
        <w:t xml:space="preserve"> District </w:t>
      </w:r>
      <w:proofErr w:type="gramStart"/>
      <w:r w:rsidRPr="00385FE6">
        <w:rPr>
          <w:rFonts w:ascii="Times New Roman Bold" w:hAnsi="Times New Roman Bold" w:cs="Times New Roman"/>
          <w:b/>
        </w:rPr>
        <w:t>A</w:t>
      </w:r>
      <w:proofErr w:type="gramEnd"/>
      <w:r w:rsidRPr="00385FE6">
        <w:rPr>
          <w:rFonts w:ascii="Times New Roman Bold" w:hAnsi="Times New Roman Bold" w:cs="Times New Roman"/>
          <w:b/>
        </w:rPr>
        <w:t xml:space="preserve"> Equitable Access Metrics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50"/>
        <w:gridCol w:w="2610"/>
        <w:gridCol w:w="2880"/>
        <w:gridCol w:w="2340"/>
        <w:gridCol w:w="1980"/>
      </w:tblGrid>
      <w:tr w:rsidR="0036732B" w:rsidRPr="00385FE6" w:rsidTr="00301EE8">
        <w:tc>
          <w:tcPr>
            <w:tcW w:w="11160" w:type="dxa"/>
            <w:gridSpan w:val="5"/>
            <w:tcBorders>
              <w:top w:val="nil"/>
              <w:left w:val="nil"/>
              <w:right w:val="nil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b/>
                <w:smallCaps/>
                <w:sz w:val="22"/>
              </w:rPr>
            </w:pPr>
          </w:p>
        </w:tc>
      </w:tr>
      <w:tr w:rsidR="0036732B" w:rsidRPr="00385FE6" w:rsidTr="00385FE6">
        <w:trPr>
          <w:trHeight w:val="98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AE3ED" w:themeFill="text2" w:themeFillTint="33"/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AE3ED" w:themeFill="text2" w:themeFillTint="33"/>
            <w:vAlign w:val="center"/>
          </w:tcPr>
          <w:p w:rsidR="0036732B" w:rsidRPr="00385FE6" w:rsidRDefault="00385FE6" w:rsidP="004322C8">
            <w:pPr>
              <w:spacing w:before="40" w:after="40"/>
              <w:jc w:val="center"/>
              <w:rPr>
                <w:rFonts w:cstheme="minorHAnsi"/>
                <w:b/>
                <w:sz w:val="22"/>
              </w:rPr>
            </w:pPr>
            <w:r w:rsidRPr="00385FE6">
              <w:rPr>
                <w:rFonts w:cstheme="minorHAnsi"/>
                <w:b/>
                <w:sz w:val="22"/>
              </w:rPr>
              <w:t>Percentage of Students E</w:t>
            </w:r>
            <w:r w:rsidR="0036732B" w:rsidRPr="00385FE6">
              <w:rPr>
                <w:rFonts w:cstheme="minorHAnsi"/>
                <w:b/>
                <w:sz w:val="22"/>
              </w:rPr>
              <w:t>ligible for Free or Reduced</w:t>
            </w:r>
            <w:r w:rsidR="004322C8">
              <w:rPr>
                <w:rFonts w:cstheme="minorHAnsi"/>
                <w:b/>
                <w:sz w:val="22"/>
              </w:rPr>
              <w:t>-</w:t>
            </w:r>
            <w:r w:rsidR="0036732B" w:rsidRPr="00385FE6">
              <w:rPr>
                <w:rFonts w:cstheme="minorHAnsi"/>
                <w:b/>
                <w:sz w:val="22"/>
              </w:rPr>
              <w:t>Price Lunch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AE3ED" w:themeFill="text2" w:themeFillTint="33"/>
            <w:vAlign w:val="center"/>
          </w:tcPr>
          <w:p w:rsidR="0036732B" w:rsidRPr="00385FE6" w:rsidRDefault="00385FE6" w:rsidP="00385FE6">
            <w:pPr>
              <w:spacing w:before="40" w:after="40"/>
              <w:jc w:val="center"/>
              <w:rPr>
                <w:rFonts w:cstheme="minorHAnsi"/>
                <w:b/>
                <w:sz w:val="22"/>
              </w:rPr>
            </w:pPr>
            <w:r w:rsidRPr="00385FE6">
              <w:rPr>
                <w:rFonts w:cstheme="minorHAnsi"/>
                <w:b/>
                <w:sz w:val="22"/>
              </w:rPr>
              <w:t>Percentage of Te</w:t>
            </w:r>
            <w:r w:rsidR="0036732B" w:rsidRPr="00385FE6">
              <w:rPr>
                <w:rFonts w:cstheme="minorHAnsi"/>
                <w:b/>
                <w:sz w:val="22"/>
              </w:rPr>
              <w:t xml:space="preserve">achers </w:t>
            </w:r>
            <w:r w:rsidRPr="00385FE6">
              <w:rPr>
                <w:rFonts w:cstheme="minorHAnsi"/>
                <w:b/>
                <w:sz w:val="22"/>
              </w:rPr>
              <w:t>W</w:t>
            </w:r>
            <w:r w:rsidR="0036732B" w:rsidRPr="00385FE6">
              <w:rPr>
                <w:rFonts w:cstheme="minorHAnsi"/>
                <w:b/>
                <w:sz w:val="22"/>
              </w:rPr>
              <w:t xml:space="preserve">ith </w:t>
            </w:r>
            <w:r w:rsidRPr="00385FE6">
              <w:rPr>
                <w:rFonts w:cstheme="minorHAnsi"/>
                <w:b/>
                <w:sz w:val="22"/>
              </w:rPr>
              <w:t>Less Than One Year</w:t>
            </w:r>
            <w:r w:rsidR="0036732B" w:rsidRPr="00385FE6">
              <w:rPr>
                <w:rFonts w:cstheme="minorHAnsi"/>
                <w:b/>
                <w:sz w:val="22"/>
              </w:rPr>
              <w:t xml:space="preserve"> of </w:t>
            </w:r>
            <w:r w:rsidRPr="00385FE6">
              <w:rPr>
                <w:rFonts w:cstheme="minorHAnsi"/>
                <w:b/>
                <w:sz w:val="22"/>
              </w:rPr>
              <w:t>Experience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AE3ED" w:themeFill="text2" w:themeFillTint="33"/>
            <w:vAlign w:val="center"/>
          </w:tcPr>
          <w:p w:rsidR="0036732B" w:rsidRPr="00385FE6" w:rsidRDefault="00385FE6" w:rsidP="00385FE6">
            <w:pPr>
              <w:spacing w:before="40" w:after="40"/>
              <w:jc w:val="center"/>
              <w:rPr>
                <w:rFonts w:cstheme="minorHAnsi"/>
                <w:b/>
                <w:sz w:val="22"/>
              </w:rPr>
            </w:pPr>
            <w:r w:rsidRPr="00385FE6">
              <w:rPr>
                <w:rFonts w:cstheme="minorHAnsi"/>
                <w:b/>
                <w:sz w:val="22"/>
              </w:rPr>
              <w:t>Percentage of Teachers U</w:t>
            </w:r>
            <w:r w:rsidR="0036732B" w:rsidRPr="00385FE6">
              <w:rPr>
                <w:rFonts w:cstheme="minorHAnsi"/>
                <w:b/>
                <w:sz w:val="22"/>
              </w:rPr>
              <w:t>ncertified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AE3ED" w:themeFill="text2" w:themeFillTint="33"/>
            <w:vAlign w:val="center"/>
          </w:tcPr>
          <w:p w:rsidR="0036732B" w:rsidRPr="00385FE6" w:rsidRDefault="00385FE6" w:rsidP="00385FE6">
            <w:pPr>
              <w:spacing w:before="40" w:after="40"/>
              <w:jc w:val="center"/>
              <w:rPr>
                <w:rFonts w:cstheme="minorHAnsi"/>
                <w:b/>
                <w:sz w:val="22"/>
              </w:rPr>
            </w:pPr>
            <w:r w:rsidRPr="00385FE6">
              <w:rPr>
                <w:rFonts w:cstheme="minorHAnsi"/>
                <w:b/>
                <w:sz w:val="22"/>
              </w:rPr>
              <w:t>Percentage of T</w:t>
            </w:r>
            <w:r w:rsidR="0036732B" w:rsidRPr="00385FE6">
              <w:rPr>
                <w:rFonts w:cstheme="minorHAnsi"/>
                <w:b/>
                <w:sz w:val="22"/>
              </w:rPr>
              <w:t xml:space="preserve">eachers </w:t>
            </w:r>
            <w:r w:rsidRPr="00385FE6">
              <w:rPr>
                <w:rFonts w:cstheme="minorHAnsi"/>
                <w:b/>
                <w:sz w:val="22"/>
              </w:rPr>
              <w:t>Rated Ineffective</w:t>
            </w:r>
          </w:p>
        </w:tc>
      </w:tr>
      <w:tr w:rsidR="0036732B" w:rsidRPr="00385FE6" w:rsidTr="00301EE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6.1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25.0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0.0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12.5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90.3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16.7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25.0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16.7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82.3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23.1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23.1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23.1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4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30.0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18.8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6.3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6.3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5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76.2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27.8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27.8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16.7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6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42.1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7.1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0.0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7.1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7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85.3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33.3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16.7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16.7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8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80.2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38.9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33.3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22.2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9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87.3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23.1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15.4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19.2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b/>
                <w:sz w:val="22"/>
              </w:rPr>
            </w:pPr>
            <w:r w:rsidRPr="00385FE6">
              <w:rPr>
                <w:rFonts w:cstheme="minorHAnsi"/>
                <w:sz w:val="22"/>
              </w:rPr>
              <w:t>School 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91.2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33.3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16.7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25.0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11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41.0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13.0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0.0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8.7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12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95.5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18.0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16.0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32B" w:rsidRPr="00385FE6" w:rsidRDefault="0036732B" w:rsidP="003B4437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28.0</w:t>
            </w:r>
            <w:r w:rsidR="00385FE6">
              <w:rPr>
                <w:rFonts w:cstheme="minorHAnsi"/>
                <w:sz w:val="22"/>
              </w:rPr>
              <w:t>%</w:t>
            </w:r>
          </w:p>
        </w:tc>
      </w:tr>
      <w:tr w:rsidR="0036732B" w:rsidRPr="00385FE6" w:rsidTr="00301EE8"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School 13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37.4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10.5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5.3</w:t>
            </w:r>
            <w:r w:rsidR="00385FE6">
              <w:rPr>
                <w:rFonts w:cstheme="minorHAnsi"/>
                <w:sz w:val="22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2B" w:rsidRPr="00385FE6" w:rsidRDefault="0036732B" w:rsidP="00385FE6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385FE6">
              <w:rPr>
                <w:rFonts w:cstheme="minorHAnsi"/>
                <w:sz w:val="22"/>
              </w:rPr>
              <w:t>5.3</w:t>
            </w:r>
            <w:r w:rsidR="003B4437">
              <w:rPr>
                <w:rFonts w:cstheme="minorHAnsi"/>
                <w:sz w:val="22"/>
              </w:rPr>
              <w:t>%</w:t>
            </w:r>
          </w:p>
        </w:tc>
      </w:tr>
    </w:tbl>
    <w:p w:rsidR="0036732B" w:rsidRDefault="0036732B" w:rsidP="0036732B"/>
    <w:sectPr w:rsidR="0036732B" w:rsidSect="00E964BA">
      <w:pgSz w:w="15840" w:h="12240" w:orient="landscape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2B" w:rsidRDefault="0036732B" w:rsidP="009813D0">
      <w:r>
        <w:separator/>
      </w:r>
    </w:p>
  </w:endnote>
  <w:endnote w:type="continuationSeparator" w:id="0">
    <w:p w:rsidR="0036732B" w:rsidRDefault="0036732B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7D09C1" w:rsidP="00B26677">
    <w:pPr>
      <w:pStyle w:val="Footer"/>
    </w:pPr>
    <w:r>
      <w:t>Center on Great Teachers and Leaders</w:t>
    </w:r>
    <w:r w:rsidR="00C62189">
      <w:ptab w:relativeTo="margin" w:alignment="right" w:leader="none"/>
    </w:r>
    <w:r w:rsidR="0036732B">
      <w:t>Equitable Access: Sample Data Displays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3B4437">
      <w:rPr>
        <w:noProof/>
      </w:rPr>
      <w:t>4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7D09C1" w:rsidP="009A2F1E">
    <w:pPr>
      <w:pStyle w:val="Footer"/>
      <w:tabs>
        <w:tab w:val="clear" w:pos="4680"/>
        <w:tab w:val="clear" w:pos="9360"/>
      </w:tabs>
    </w:pPr>
    <w:r>
      <w:t>Center on Great Teachers and Leaders</w:t>
    </w:r>
    <w:r w:rsidR="009A2F1E">
      <w:ptab w:relativeTo="margin" w:alignment="right" w:leader="none"/>
    </w:r>
    <w:r w:rsidR="0036732B">
      <w:t>Equitable Access: Sample Data Displays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3B4437">
      <w:rPr>
        <w:noProof/>
      </w:rPr>
      <w:t>1</w:t>
    </w:r>
    <w:r w:rsidR="00D745CF" w:rsidRPr="009A2F1E">
      <w:fldChar w:fldCharType="end"/>
    </w:r>
  </w:p>
  <w:p w:rsidR="009A2F1E" w:rsidRPr="009A2F1E" w:rsidRDefault="006C5AB4" w:rsidP="00A04610">
    <w:pPr>
      <w:pStyle w:val="CoverPubID"/>
      <w:jc w:val="left"/>
    </w:pPr>
    <w:r w:rsidRPr="006C5AB4">
      <w:rPr>
        <w:sz w:val="20"/>
      </w:rPr>
      <w:t>Copyright © 201</w:t>
    </w:r>
    <w:r w:rsidR="0036732B">
      <w:rPr>
        <w:sz w:val="20"/>
      </w:rPr>
      <w:t>4</w:t>
    </w:r>
    <w:r w:rsidRPr="006C5AB4">
      <w:rPr>
        <w:sz w:val="20"/>
      </w:rPr>
      <w:t xml:space="preserve"> American Institutes for Research. </w:t>
    </w:r>
    <w:r w:rsidRPr="006C5AB4">
      <w:rPr>
        <w:rStyle w:val="FooterChar"/>
      </w:rPr>
      <w:t>All rights reserved.</w:t>
    </w:r>
    <w:r w:rsidR="00A04610">
      <w:ptab w:relativeTo="margin" w:alignment="right" w:leader="none"/>
    </w:r>
    <w:r w:rsidR="0036732B">
      <w:t>3220</w:t>
    </w:r>
    <w:r w:rsidR="009A2F1E" w:rsidRPr="00190DF8">
      <w:t>_</w:t>
    </w:r>
    <w:r w:rsidR="0036732B">
      <w:t>11</w:t>
    </w:r>
    <w:r w:rsidR="009A2F1E" w:rsidRPr="00190DF8">
      <w:t>/</w:t>
    </w:r>
    <w:r w:rsidR="0036732B"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2B" w:rsidRPr="009A2F1E" w:rsidRDefault="0036732B" w:rsidP="009A2F1E">
    <w:pPr>
      <w:pStyle w:val="Footer"/>
      <w:tabs>
        <w:tab w:val="clear" w:pos="4680"/>
        <w:tab w:val="clear" w:pos="9360"/>
      </w:tabs>
    </w:pPr>
    <w:r>
      <w:t>Center on Great Teachers and Leaders</w:t>
    </w:r>
    <w:r>
      <w:ptab w:relativeTo="margin" w:alignment="right" w:leader="none"/>
    </w:r>
    <w:r>
      <w:t>Equitable Access: Sample Data Displays</w:t>
    </w:r>
    <w:r w:rsidRPr="009A2F1E">
      <w:t>—</w:t>
    </w:r>
    <w:r w:rsidRPr="009A2F1E">
      <w:fldChar w:fldCharType="begin"/>
    </w:r>
    <w:r w:rsidRPr="009A2F1E">
      <w:instrText xml:space="preserve"> PAGE   \* MERGEFORMAT </w:instrText>
    </w:r>
    <w:r w:rsidRPr="009A2F1E">
      <w:fldChar w:fldCharType="separate"/>
    </w:r>
    <w:r w:rsidR="003B4437">
      <w:rPr>
        <w:noProof/>
      </w:rPr>
      <w:t>2</w:t>
    </w:r>
    <w:r w:rsidRPr="009A2F1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2B" w:rsidRDefault="0036732B" w:rsidP="009813D0">
      <w:r>
        <w:separator/>
      </w:r>
    </w:p>
  </w:footnote>
  <w:footnote w:type="continuationSeparator" w:id="0">
    <w:p w:rsidR="0036732B" w:rsidRDefault="0036732B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03266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7170D90" wp14:editId="7A7041E6">
          <wp:simplePos x="0" y="0"/>
          <wp:positionH relativeFrom="page">
            <wp:posOffset>1271</wp:posOffset>
          </wp:positionH>
          <wp:positionV relativeFrom="page">
            <wp:posOffset>0</wp:posOffset>
          </wp:positionV>
          <wp:extent cx="10055858" cy="1142365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5858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2B" w:rsidRPr="00235475" w:rsidRDefault="0036732B" w:rsidP="00235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9"/>
  </w:num>
  <w:num w:numId="14">
    <w:abstractNumId w:val="12"/>
  </w:num>
  <w:num w:numId="15">
    <w:abstractNumId w:val="21"/>
  </w:num>
  <w:num w:numId="16">
    <w:abstractNumId w:val="15"/>
  </w:num>
  <w:num w:numId="17">
    <w:abstractNumId w:val="16"/>
  </w:num>
  <w:num w:numId="18">
    <w:abstractNumId w:val="22"/>
  </w:num>
  <w:num w:numId="19">
    <w:abstractNumId w:val="11"/>
  </w:num>
  <w:num w:numId="20">
    <w:abstractNumId w:val="22"/>
    <w:lvlOverride w:ilvl="0">
      <w:startOverride w:val="1"/>
    </w:lvlOverride>
  </w:num>
  <w:num w:numId="21">
    <w:abstractNumId w:val="23"/>
  </w:num>
  <w:num w:numId="22">
    <w:abstractNumId w:val="24"/>
  </w:num>
  <w:num w:numId="23">
    <w:abstractNumId w:val="17"/>
  </w:num>
  <w:num w:numId="24">
    <w:abstractNumId w:val="18"/>
  </w:num>
  <w:num w:numId="25">
    <w:abstractNumId w:val="20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2B"/>
    <w:rsid w:val="00032660"/>
    <w:rsid w:val="00043156"/>
    <w:rsid w:val="00084DD8"/>
    <w:rsid w:val="000D3209"/>
    <w:rsid w:val="0018296E"/>
    <w:rsid w:val="001A5EDC"/>
    <w:rsid w:val="001D51AD"/>
    <w:rsid w:val="001F6FCC"/>
    <w:rsid w:val="002127F9"/>
    <w:rsid w:val="00235475"/>
    <w:rsid w:val="00312AB0"/>
    <w:rsid w:val="00365207"/>
    <w:rsid w:val="0036732B"/>
    <w:rsid w:val="00385FE6"/>
    <w:rsid w:val="003B4437"/>
    <w:rsid w:val="003C2896"/>
    <w:rsid w:val="004322C8"/>
    <w:rsid w:val="0049023B"/>
    <w:rsid w:val="00551547"/>
    <w:rsid w:val="005803CA"/>
    <w:rsid w:val="005863A7"/>
    <w:rsid w:val="00594A0C"/>
    <w:rsid w:val="005F70CC"/>
    <w:rsid w:val="006062F4"/>
    <w:rsid w:val="0067689C"/>
    <w:rsid w:val="006C5AB4"/>
    <w:rsid w:val="007025B6"/>
    <w:rsid w:val="00711005"/>
    <w:rsid w:val="00755A6B"/>
    <w:rsid w:val="007C6E39"/>
    <w:rsid w:val="007D09C1"/>
    <w:rsid w:val="007E522D"/>
    <w:rsid w:val="007F4AE3"/>
    <w:rsid w:val="0081506C"/>
    <w:rsid w:val="00845EE4"/>
    <w:rsid w:val="0086770A"/>
    <w:rsid w:val="00891A35"/>
    <w:rsid w:val="008974D4"/>
    <w:rsid w:val="008F0AD8"/>
    <w:rsid w:val="00954F32"/>
    <w:rsid w:val="009813D0"/>
    <w:rsid w:val="009A2F1E"/>
    <w:rsid w:val="009A3982"/>
    <w:rsid w:val="009A6A6B"/>
    <w:rsid w:val="009B3DFD"/>
    <w:rsid w:val="00A04610"/>
    <w:rsid w:val="00A60BB1"/>
    <w:rsid w:val="00AA0964"/>
    <w:rsid w:val="00B26677"/>
    <w:rsid w:val="00B44151"/>
    <w:rsid w:val="00B7620A"/>
    <w:rsid w:val="00BE0FA9"/>
    <w:rsid w:val="00C62189"/>
    <w:rsid w:val="00C87513"/>
    <w:rsid w:val="00CD2118"/>
    <w:rsid w:val="00CF09CD"/>
    <w:rsid w:val="00D745CF"/>
    <w:rsid w:val="00D82577"/>
    <w:rsid w:val="00DE00BB"/>
    <w:rsid w:val="00E14161"/>
    <w:rsid w:val="00E20FF2"/>
    <w:rsid w:val="00E964BA"/>
    <w:rsid w:val="00E97650"/>
    <w:rsid w:val="00F42CDA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1VFS001\Groups\Editing\__2013\_Editing%20Procedures\_2013%20Word%20and%20PPT%20Templates\_Great%20Teachers%20and%20Leaders%201385_was%203310%20(Final)\GTL_Handout_Template_Landscape_02-04-13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homesvr\home\aberg-jacobson\GTL%20Projects\Equitable%20Access\Deliverable%20Drafts%20and%20Notes\10242014%20Sample%20Data%20Draft%20AB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homesvr\home\aberg-jacobson\GTL%20Projects\Equitable%20Access\Deliverable%20Drafts%20and%20Notes\10242014%20Sample%20Data%20Draft%20AB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homesvr\home\aberg-jacobson\GTL%20Projects\Equitable%20Access\Deliverable%20Drafts%20and%20Notes\10242014%20Sample%20Data%20Draft%20AB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homesvr\home\aberg-jacobson\GTL%20Projects\Equitable%20Access\Deliverable%20Drafts%20and%20Notes\10242014%20Sample%20Data%20Draft%20AB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homesvr\home\aberg-jacobson\GTL%20Projects\Equitable%20Access\Deliverable%20Drafts%20and%20Notes\10242014%20Sample%20Data%20Draft%20AB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u="sng" cap="sm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400" u="sng" cap="sm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School Poverty Rate by New Teacher Population</a:t>
            </a:r>
          </a:p>
        </c:rich>
      </c:tx>
      <c:layout>
        <c:manualLayout>
          <c:xMode val="edge"/>
          <c:yMode val="edge"/>
          <c:x val="0.27333326876575853"/>
          <c:y val="1.6806722689075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65540876316087"/>
          <c:y val="0.15730805708110016"/>
          <c:w val="0.7134231468298935"/>
          <c:h val="0.68685546659608721"/>
        </c:manualLayout>
      </c:layout>
      <c:scatterChart>
        <c:scatterStyle val="lineMarker"/>
        <c:varyColors val="0"/>
        <c:ser>
          <c:idx val="0"/>
          <c:order val="0"/>
          <c:tx>
            <c:v>District A</c:v>
          </c:tx>
          <c:spPr>
            <a:ln w="28575">
              <a:noFill/>
            </a:ln>
          </c:spPr>
          <c:xVal>
            <c:numRef>
              <c:f>Data!$L$3:$L$15</c:f>
              <c:numCache>
                <c:formatCode>0.0</c:formatCode>
                <c:ptCount val="13"/>
                <c:pt idx="0">
                  <c:v>6.05</c:v>
                </c:pt>
                <c:pt idx="1">
                  <c:v>90.34</c:v>
                </c:pt>
                <c:pt idx="2">
                  <c:v>82.34</c:v>
                </c:pt>
                <c:pt idx="3">
                  <c:v>30.02</c:v>
                </c:pt>
                <c:pt idx="4">
                  <c:v>76.23</c:v>
                </c:pt>
                <c:pt idx="5">
                  <c:v>42.12</c:v>
                </c:pt>
                <c:pt idx="6">
                  <c:v>85.3</c:v>
                </c:pt>
                <c:pt idx="7">
                  <c:v>80.23</c:v>
                </c:pt>
                <c:pt idx="8">
                  <c:v>87.32</c:v>
                </c:pt>
                <c:pt idx="9">
                  <c:v>91.21</c:v>
                </c:pt>
                <c:pt idx="10">
                  <c:v>41.02</c:v>
                </c:pt>
                <c:pt idx="11">
                  <c:v>95.47</c:v>
                </c:pt>
                <c:pt idx="12">
                  <c:v>37.43</c:v>
                </c:pt>
              </c:numCache>
            </c:numRef>
          </c:xVal>
          <c:yVal>
            <c:numRef>
              <c:f>Data!$P$3:$P$15</c:f>
              <c:numCache>
                <c:formatCode>0.0</c:formatCode>
                <c:ptCount val="13"/>
                <c:pt idx="0">
                  <c:v>25</c:v>
                </c:pt>
                <c:pt idx="1">
                  <c:v>16.66</c:v>
                </c:pt>
                <c:pt idx="2">
                  <c:v>23.08</c:v>
                </c:pt>
                <c:pt idx="3">
                  <c:v>18.75</c:v>
                </c:pt>
                <c:pt idx="4">
                  <c:v>27.78</c:v>
                </c:pt>
                <c:pt idx="5">
                  <c:v>7.14</c:v>
                </c:pt>
                <c:pt idx="6">
                  <c:v>33.33</c:v>
                </c:pt>
                <c:pt idx="7">
                  <c:v>38.89</c:v>
                </c:pt>
                <c:pt idx="8">
                  <c:v>23.08</c:v>
                </c:pt>
                <c:pt idx="9">
                  <c:v>33.33</c:v>
                </c:pt>
                <c:pt idx="10">
                  <c:v>13.04</c:v>
                </c:pt>
                <c:pt idx="11">
                  <c:v>18</c:v>
                </c:pt>
                <c:pt idx="12">
                  <c:v>10.53</c:v>
                </c:pt>
              </c:numCache>
            </c:numRef>
          </c:yVal>
          <c:smooth val="0"/>
        </c:ser>
        <c:ser>
          <c:idx val="1"/>
          <c:order val="1"/>
          <c:tx>
            <c:v>District B</c:v>
          </c:tx>
          <c:spPr>
            <a:ln w="28575">
              <a:noFill/>
            </a:ln>
          </c:spPr>
          <c:xVal>
            <c:numRef>
              <c:f>Data!$L$16:$L$26</c:f>
              <c:numCache>
                <c:formatCode>0.0</c:formatCode>
                <c:ptCount val="11"/>
                <c:pt idx="0">
                  <c:v>88.73</c:v>
                </c:pt>
                <c:pt idx="1">
                  <c:v>31.24</c:v>
                </c:pt>
                <c:pt idx="2">
                  <c:v>27.34</c:v>
                </c:pt>
                <c:pt idx="3">
                  <c:v>45.06</c:v>
                </c:pt>
                <c:pt idx="4">
                  <c:v>90.53</c:v>
                </c:pt>
                <c:pt idx="5">
                  <c:v>13.42</c:v>
                </c:pt>
                <c:pt idx="6">
                  <c:v>86.54</c:v>
                </c:pt>
                <c:pt idx="7">
                  <c:v>43.63</c:v>
                </c:pt>
                <c:pt idx="8">
                  <c:v>17.829999999999998</c:v>
                </c:pt>
                <c:pt idx="9">
                  <c:v>83.42</c:v>
                </c:pt>
                <c:pt idx="10">
                  <c:v>11.02</c:v>
                </c:pt>
              </c:numCache>
            </c:numRef>
          </c:xVal>
          <c:yVal>
            <c:numRef>
              <c:f>Data!$P$16:$P$26</c:f>
              <c:numCache>
                <c:formatCode>0.0</c:formatCode>
                <c:ptCount val="11"/>
                <c:pt idx="0">
                  <c:v>0</c:v>
                </c:pt>
                <c:pt idx="1">
                  <c:v>9.09</c:v>
                </c:pt>
                <c:pt idx="2">
                  <c:v>5.56</c:v>
                </c:pt>
                <c:pt idx="3">
                  <c:v>5</c:v>
                </c:pt>
                <c:pt idx="4">
                  <c:v>9.09</c:v>
                </c:pt>
                <c:pt idx="5">
                  <c:v>8.33</c:v>
                </c:pt>
                <c:pt idx="6">
                  <c:v>0</c:v>
                </c:pt>
                <c:pt idx="7">
                  <c:v>9.09</c:v>
                </c:pt>
                <c:pt idx="8">
                  <c:v>4.3499999999999996</c:v>
                </c:pt>
                <c:pt idx="9">
                  <c:v>8.33</c:v>
                </c:pt>
                <c:pt idx="10">
                  <c:v>5.45</c:v>
                </c:pt>
              </c:numCache>
            </c:numRef>
          </c:yVal>
          <c:smooth val="0"/>
        </c:ser>
        <c:ser>
          <c:idx val="2"/>
          <c:order val="2"/>
          <c:tx>
            <c:v>District C</c:v>
          </c:tx>
          <c:spPr>
            <a:ln w="28575">
              <a:noFill/>
            </a:ln>
          </c:spPr>
          <c:xVal>
            <c:numRef>
              <c:f>Data!$L$27:$L$41</c:f>
              <c:numCache>
                <c:formatCode>0.0</c:formatCode>
                <c:ptCount val="15"/>
                <c:pt idx="0">
                  <c:v>90.38</c:v>
                </c:pt>
                <c:pt idx="1">
                  <c:v>88.76</c:v>
                </c:pt>
                <c:pt idx="2">
                  <c:v>87.43</c:v>
                </c:pt>
                <c:pt idx="3">
                  <c:v>86.54</c:v>
                </c:pt>
                <c:pt idx="4">
                  <c:v>82.04</c:v>
                </c:pt>
                <c:pt idx="5">
                  <c:v>23.14</c:v>
                </c:pt>
                <c:pt idx="6">
                  <c:v>85.43</c:v>
                </c:pt>
                <c:pt idx="7">
                  <c:v>89.23</c:v>
                </c:pt>
                <c:pt idx="8">
                  <c:v>65.23</c:v>
                </c:pt>
                <c:pt idx="9">
                  <c:v>74.3</c:v>
                </c:pt>
                <c:pt idx="10">
                  <c:v>93.85</c:v>
                </c:pt>
                <c:pt idx="11">
                  <c:v>89.02</c:v>
                </c:pt>
                <c:pt idx="12">
                  <c:v>97.36</c:v>
                </c:pt>
                <c:pt idx="13">
                  <c:v>82.32</c:v>
                </c:pt>
                <c:pt idx="14">
                  <c:v>86.84</c:v>
                </c:pt>
              </c:numCache>
            </c:numRef>
          </c:xVal>
          <c:yVal>
            <c:numRef>
              <c:f>Data!$P$27:$P$41</c:f>
              <c:numCache>
                <c:formatCode>0.0</c:formatCode>
                <c:ptCount val="15"/>
                <c:pt idx="0">
                  <c:v>40</c:v>
                </c:pt>
                <c:pt idx="1">
                  <c:v>29.41</c:v>
                </c:pt>
                <c:pt idx="2">
                  <c:v>10.53</c:v>
                </c:pt>
                <c:pt idx="3">
                  <c:v>15.79</c:v>
                </c:pt>
                <c:pt idx="4">
                  <c:v>18.75</c:v>
                </c:pt>
                <c:pt idx="5">
                  <c:v>5.88</c:v>
                </c:pt>
                <c:pt idx="6">
                  <c:v>17.649999999999999</c:v>
                </c:pt>
                <c:pt idx="7">
                  <c:v>16.670000000000002</c:v>
                </c:pt>
                <c:pt idx="8">
                  <c:v>26.67</c:v>
                </c:pt>
                <c:pt idx="9">
                  <c:v>15</c:v>
                </c:pt>
                <c:pt idx="10">
                  <c:v>21.05</c:v>
                </c:pt>
                <c:pt idx="11">
                  <c:v>13.64</c:v>
                </c:pt>
                <c:pt idx="12">
                  <c:v>23.8</c:v>
                </c:pt>
                <c:pt idx="13">
                  <c:v>15.22</c:v>
                </c:pt>
                <c:pt idx="14">
                  <c:v>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065152"/>
        <c:axId val="174067072"/>
      </c:scatterChart>
      <c:valAx>
        <c:axId val="174065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r>
                  <a:rPr lang="en-US" sz="11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eligible for Free or Reduced Price Lunch</a:t>
                </a:r>
                <a:endParaRPr lang="en-US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3063440870629179"/>
              <c:y val="0.92908114426873112"/>
            </c:manualLayout>
          </c:layout>
          <c:overlay val="0"/>
        </c:title>
        <c:numFmt formatCode="0.0" sourceLinked="1"/>
        <c:majorTickMark val="none"/>
        <c:minorTickMark val="none"/>
        <c:tickLblPos val="low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4067072"/>
        <c:crosses val="autoZero"/>
        <c:crossBetween val="midCat"/>
      </c:valAx>
      <c:valAx>
        <c:axId val="1740670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teachers with less than</a:t>
                </a:r>
                <a:r>
                  <a:rPr lang="en-US" sz="11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one year of experience</a:t>
                </a:r>
                <a:endParaRPr lang="en-US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1148888108349895E-2"/>
              <c:y val="0.18232381472593887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40651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6378178742417344"/>
          <c:y val="0.41415359844725297"/>
          <c:w val="0.11611759830330806"/>
          <c:h val="0.17166294028061307"/>
        </c:manualLayout>
      </c:layout>
      <c:overlay val="0"/>
      <c:spPr>
        <a:ln w="12700">
          <a:solidFill>
            <a:schemeClr val="tx1"/>
          </a:solidFill>
        </a:ln>
      </c:spPr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 cmpd="thinThick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u="sng" cap="sm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u="sng" cap="sm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District A - Breakdown By Locale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Visualizations!$B$40:$B$42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</c:v>
                </c:pt>
              </c:strCache>
            </c:strRef>
          </c:cat>
          <c:val>
            <c:numRef>
              <c:f>Visualizations!$C$40:$C$42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spPr>
        <a:ln w="12700">
          <a:solidFill>
            <a:schemeClr val="tx1"/>
          </a:solidFill>
        </a:ln>
      </c:spPr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 w="28575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u="sng" cap="sm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u="sng" cap="sm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District C - Breakdown by Locale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Visualizations!$D$60:$D$62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</c:v>
                </c:pt>
              </c:strCache>
            </c:strRef>
          </c:cat>
          <c:val>
            <c:numRef>
              <c:f>Visualizations!$E$60:$E$62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spPr>
        <a:ln w="12700">
          <a:solidFill>
            <a:schemeClr val="tx1"/>
          </a:solidFill>
        </a:ln>
      </c:spPr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 w="28575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u="sng" cap="sm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u="sng" cap="sm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District B - Breakdown by Locale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Visualizations!$F$39:$F$41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</c:v>
                </c:pt>
              </c:strCache>
            </c:strRef>
          </c:cat>
          <c:val>
            <c:numRef>
              <c:f>Visualizations!$G$39:$G$41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spPr>
        <a:ln w="12700">
          <a:solidFill>
            <a:schemeClr val="tx1"/>
          </a:solidFill>
        </a:ln>
      </c:spPr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 w="28575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u="sng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600" u="sng" cap="sm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Average % of Teachers Rated Ineffective by Poverty Quartile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969921013394451"/>
          <c:y val="0.19303762380403855"/>
          <c:w val="0.73792330536147765"/>
          <c:h val="0.65673225716524908"/>
        </c:manualLayout>
      </c:layout>
      <c:barChart>
        <c:barDir val="bar"/>
        <c:grouping val="stacked"/>
        <c:varyColors val="0"/>
        <c:ser>
          <c:idx val="0"/>
          <c:order val="0"/>
          <c:tx>
            <c:v>District A</c:v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Visualizations!$E$84:$E$87</c:f>
              <c:strCache>
                <c:ptCount val="4"/>
                <c:pt idx="0">
                  <c:v>1st Quartile</c:v>
                </c:pt>
                <c:pt idx="1">
                  <c:v>2nd Quartile</c:v>
                </c:pt>
                <c:pt idx="2">
                  <c:v>3rd Quartile</c:v>
                </c:pt>
                <c:pt idx="3">
                  <c:v>4th Quartile</c:v>
                </c:pt>
              </c:strCache>
            </c:strRef>
          </c:cat>
          <c:val>
            <c:numRef>
              <c:f>Visualizations!$F$84:$F$87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15.3</c:v>
                </c:pt>
                <c:pt idx="2">
                  <c:v>19.7</c:v>
                </c:pt>
                <c:pt idx="3">
                  <c:v>23.2</c:v>
                </c:pt>
              </c:numCache>
            </c:numRef>
          </c:val>
        </c:ser>
        <c:ser>
          <c:idx val="1"/>
          <c:order val="1"/>
          <c:tx>
            <c:v>District B</c:v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Visualizations!$E$84:$E$87</c:f>
              <c:strCache>
                <c:ptCount val="4"/>
                <c:pt idx="0">
                  <c:v>1st Quartile</c:v>
                </c:pt>
                <c:pt idx="1">
                  <c:v>2nd Quartile</c:v>
                </c:pt>
                <c:pt idx="2">
                  <c:v>3rd Quartile</c:v>
                </c:pt>
                <c:pt idx="3">
                  <c:v>4th Quartile</c:v>
                </c:pt>
              </c:strCache>
            </c:strRef>
          </c:cat>
          <c:val>
            <c:numRef>
              <c:f>Visualizations!$F$90:$F$93</c:f>
              <c:numCache>
                <c:formatCode>General</c:formatCode>
                <c:ptCount val="4"/>
                <c:pt idx="0">
                  <c:v>6</c:v>
                </c:pt>
                <c:pt idx="1">
                  <c:v>7.9</c:v>
                </c:pt>
                <c:pt idx="2">
                  <c:v>2.5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v>District C</c:v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Visualizations!$E$84:$E$87</c:f>
              <c:strCache>
                <c:ptCount val="4"/>
                <c:pt idx="0">
                  <c:v>1st Quartile</c:v>
                </c:pt>
                <c:pt idx="1">
                  <c:v>2nd Quartile</c:v>
                </c:pt>
                <c:pt idx="2">
                  <c:v>3rd Quartile</c:v>
                </c:pt>
                <c:pt idx="3">
                  <c:v>4th Quartile</c:v>
                </c:pt>
              </c:strCache>
            </c:strRef>
          </c:cat>
          <c:val>
            <c:numRef>
              <c:f>Visualizations!$H$84:$H$87</c:f>
              <c:numCache>
                <c:formatCode>General</c:formatCode>
                <c:ptCount val="4"/>
                <c:pt idx="0">
                  <c:v>13.9</c:v>
                </c:pt>
                <c:pt idx="1">
                  <c:v>26.9</c:v>
                </c:pt>
                <c:pt idx="2">
                  <c:v>48.4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4223744"/>
        <c:axId val="174225664"/>
      </c:barChart>
      <c:catAx>
        <c:axId val="1742237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School poverty rate quartile</a:t>
                </a:r>
              </a:p>
            </c:rich>
          </c:tx>
          <c:layout>
            <c:manualLayout>
              <c:xMode val="edge"/>
              <c:yMode val="edge"/>
              <c:x val="2.5805823567828665E-2"/>
              <c:y val="0.27007274391302288"/>
            </c:manualLayout>
          </c:layout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4225664"/>
        <c:crosses val="autoZero"/>
        <c:auto val="1"/>
        <c:lblAlgn val="ctr"/>
        <c:lblOffset val="100"/>
        <c:noMultiLvlLbl val="0"/>
      </c:catAx>
      <c:valAx>
        <c:axId val="17422566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Average % of teachers rated as ineffective</a:t>
                </a:r>
              </a:p>
            </c:rich>
          </c:tx>
          <c:layout>
            <c:manualLayout>
              <c:xMode val="edge"/>
              <c:yMode val="edge"/>
              <c:x val="0.36948985250083177"/>
              <c:y val="0.922374092016053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422374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50AF2E-3A2A-4C48-974F-F7F7CFE0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GTL_Handout_Template_Landscape_02-04-13</Template>
  <TotalTime>6</TotalTime>
  <Pages>4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 gahala</dc:creator>
  <cp:lastModifiedBy>Berg-Jacobson, Alexander</cp:lastModifiedBy>
  <cp:revision>2</cp:revision>
  <cp:lastPrinted>2013-01-03T20:30:00Z</cp:lastPrinted>
  <dcterms:created xsi:type="dcterms:W3CDTF">2014-11-07T16:34:00Z</dcterms:created>
  <dcterms:modified xsi:type="dcterms:W3CDTF">2014-11-07T16:34:00Z</dcterms:modified>
</cp:coreProperties>
</file>