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A605D" w14:textId="553E8598" w:rsidR="0035461A" w:rsidRPr="00055837" w:rsidRDefault="0035461A" w:rsidP="0035461A">
      <w:pPr>
        <w:pStyle w:val="Header"/>
        <w:pBdr>
          <w:bottom w:val="none" w:sz="0" w:space="0" w:color="auto"/>
        </w:pBdr>
        <w:tabs>
          <w:tab w:val="right" w:pos="12960"/>
        </w:tabs>
        <w:spacing w:after="240"/>
      </w:pPr>
      <w:r w:rsidRPr="00055837">
        <w:rPr>
          <w:noProof/>
        </w:rPr>
        <w:drawing>
          <wp:inline distT="0" distB="0" distL="0" distR="0" wp14:anchorId="7FCFB17D" wp14:editId="29712C9E">
            <wp:extent cx="1868149" cy="457200"/>
            <wp:effectExtent l="0" t="0" r="0" b="0"/>
            <wp:docPr id="1" name="Picture 1" descr="CC Network National Center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14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5837">
        <w:tab/>
      </w:r>
      <w:r w:rsidRPr="00055837">
        <w:rPr>
          <w:rFonts w:ascii="Times New Roman" w:hAnsi="Times New Roman" w:cs="Times New Roman"/>
          <w:noProof/>
        </w:rPr>
        <w:drawing>
          <wp:inline distT="0" distB="0" distL="0" distR="0" wp14:anchorId="695D4A17" wp14:editId="0C9D0368">
            <wp:extent cx="2058404" cy="430351"/>
            <wp:effectExtent l="0" t="0" r="0" b="8255"/>
            <wp:docPr id="2" name="image2.png" descr="Edunomics Lab logo. The Study of Education Financ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Edunomics Lab Log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404" cy="4303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ACA3AC" w14:textId="0E27C047" w:rsidR="004415B5" w:rsidRPr="00055837" w:rsidRDefault="00F96360" w:rsidP="00FA4BE8">
      <w:pPr>
        <w:pStyle w:val="Heading2"/>
      </w:pPr>
      <w:r w:rsidRPr="00055837">
        <w:t>ARP/</w:t>
      </w:r>
      <w:proofErr w:type="spellStart"/>
      <w:r w:rsidRPr="00055837">
        <w:t>ESSER</w:t>
      </w:r>
      <w:proofErr w:type="spellEnd"/>
      <w:r w:rsidRPr="00055837">
        <w:t xml:space="preserve"> </w:t>
      </w:r>
      <w:r w:rsidR="001F73E0" w:rsidRPr="00055837">
        <w:t>Financial Monitoring Checklist</w:t>
      </w:r>
    </w:p>
    <w:p w14:paraId="55930497" w14:textId="3D86ACF8" w:rsidR="00E9100F" w:rsidRPr="00055837" w:rsidRDefault="625F3064" w:rsidP="00E9100F">
      <w:pPr>
        <w:rPr>
          <w:rFonts w:ascii="Cambria" w:hAnsi="Cambria" w:cs="Arial"/>
          <w:color w:val="000000"/>
          <w:szCs w:val="24"/>
        </w:rPr>
      </w:pPr>
      <w:r w:rsidRPr="00055837">
        <w:rPr>
          <w:rFonts w:ascii="Cambria" w:hAnsi="Cambria" w:cs="Arial"/>
          <w:color w:val="000000" w:themeColor="text1"/>
          <w:szCs w:val="24"/>
        </w:rPr>
        <w:t xml:space="preserve">This financial monitoring checklist is customizable and can be used to assist </w:t>
      </w:r>
      <w:proofErr w:type="spellStart"/>
      <w:r w:rsidRPr="00055837">
        <w:rPr>
          <w:rFonts w:ascii="Cambria" w:hAnsi="Cambria" w:cs="Arial"/>
          <w:color w:val="000000" w:themeColor="text1"/>
          <w:szCs w:val="24"/>
        </w:rPr>
        <w:t>SEAs</w:t>
      </w:r>
      <w:proofErr w:type="spellEnd"/>
      <w:r w:rsidRPr="00055837">
        <w:rPr>
          <w:rFonts w:ascii="Cambria" w:hAnsi="Cambria" w:cs="Arial"/>
          <w:color w:val="000000" w:themeColor="text1"/>
          <w:szCs w:val="24"/>
        </w:rPr>
        <w:t>, LEAs, and districts in assessing the status of ARP/</w:t>
      </w:r>
      <w:proofErr w:type="spellStart"/>
      <w:r w:rsidRPr="00055837">
        <w:rPr>
          <w:rFonts w:ascii="Cambria" w:hAnsi="Cambria" w:cs="Arial"/>
          <w:color w:val="000000" w:themeColor="text1"/>
          <w:szCs w:val="24"/>
        </w:rPr>
        <w:t>ESSER</w:t>
      </w:r>
      <w:proofErr w:type="spellEnd"/>
      <w:r w:rsidRPr="00055837">
        <w:rPr>
          <w:rFonts w:ascii="Cambria" w:hAnsi="Cambria" w:cs="Arial"/>
          <w:color w:val="000000" w:themeColor="text1"/>
          <w:szCs w:val="24"/>
        </w:rPr>
        <w:t xml:space="preserve"> III expenditures at the local/school level and prioritizing areas of focus for monitoring, evaluation, and support. </w:t>
      </w:r>
    </w:p>
    <w:p w14:paraId="73B97B1D" w14:textId="62E8B0F5" w:rsidR="00B73D7B" w:rsidRPr="00055837" w:rsidRDefault="00B73D7B" w:rsidP="0035461A">
      <w:pPr>
        <w:spacing w:after="240"/>
        <w:rPr>
          <w:rFonts w:ascii="Cambria" w:hAnsi="Cambria"/>
          <w:sz w:val="22"/>
          <w:szCs w:val="22"/>
        </w:rPr>
      </w:pPr>
      <w:r w:rsidRPr="00055837">
        <w:rPr>
          <w:rFonts w:ascii="Cambria" w:hAnsi="Cambria" w:cs="Arial"/>
          <w:color w:val="000000"/>
          <w:szCs w:val="24"/>
        </w:rPr>
        <w:t>Use of this tool may also point to spending priorities for sustainability considerations.</w:t>
      </w:r>
    </w:p>
    <w:tbl>
      <w:tblPr>
        <w:tblStyle w:val="a"/>
        <w:tblW w:w="12960" w:type="dxa"/>
        <w:tblLayout w:type="fixed"/>
        <w:tblLook w:val="0400" w:firstRow="0" w:lastRow="0" w:firstColumn="0" w:lastColumn="0" w:noHBand="0" w:noVBand="1"/>
        <w:tblDescription w:val="This is a blank table that can be customized to assist LEAs, SEAs, and districts in assessing ARP/ESSER III expenditures. The table is currently geared toward LEAs. "/>
      </w:tblPr>
      <w:tblGrid>
        <w:gridCol w:w="3880"/>
        <w:gridCol w:w="2270"/>
        <w:gridCol w:w="2270"/>
        <w:gridCol w:w="2270"/>
        <w:gridCol w:w="2270"/>
      </w:tblGrid>
      <w:tr w:rsidR="005836AC" w:rsidRPr="00055837" w14:paraId="50FF91D8" w14:textId="77777777" w:rsidTr="00055837">
        <w:trPr>
          <w:cantSplit/>
          <w:trHeight w:val="20"/>
          <w:tblHeader/>
        </w:trPr>
        <w:tc>
          <w:tcPr>
            <w:tcW w:w="3880" w:type="dxa"/>
            <w:tcBorders>
              <w:bottom w:val="single" w:sz="12" w:space="0" w:color="32861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605F1B89" w14:textId="60DB22B4" w:rsidR="005836AC" w:rsidRPr="00055837" w:rsidRDefault="006A3A7F" w:rsidP="00FA4BE8">
            <w:pPr>
              <w:pStyle w:val="TH-TableHeading"/>
            </w:pPr>
            <w:r w:rsidRPr="00055837">
              <w:t>Assessment questions</w:t>
            </w:r>
          </w:p>
        </w:tc>
        <w:tc>
          <w:tcPr>
            <w:tcW w:w="2270" w:type="dxa"/>
            <w:tcBorders>
              <w:bottom w:val="single" w:sz="12" w:space="0" w:color="32861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3BB03B66" w14:textId="77777777" w:rsidR="005836AC" w:rsidRPr="00055837" w:rsidRDefault="625F3064" w:rsidP="00CD02D7">
            <w:pPr>
              <w:pStyle w:val="TH-TableHeading"/>
              <w:jc w:val="center"/>
            </w:pPr>
            <w:r w:rsidRPr="00055837">
              <w:t>For all LEAs</w:t>
            </w:r>
          </w:p>
        </w:tc>
        <w:tc>
          <w:tcPr>
            <w:tcW w:w="2270" w:type="dxa"/>
            <w:tcBorders>
              <w:bottom w:val="single" w:sz="12" w:space="0" w:color="32861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2FA46553" w14:textId="77777777" w:rsidR="00D05A07" w:rsidRPr="00055837" w:rsidRDefault="625F3064" w:rsidP="00ED4D67">
            <w:pPr>
              <w:pStyle w:val="TH-TableHeading"/>
              <w:jc w:val="center"/>
            </w:pPr>
            <w:r w:rsidRPr="00055837">
              <w:t>For LEAs closed the longest</w:t>
            </w:r>
          </w:p>
          <w:p w14:paraId="72E38FB8" w14:textId="52E16DAC" w:rsidR="005836AC" w:rsidRPr="00055837" w:rsidRDefault="625F3064" w:rsidP="00CD02D7">
            <w:pPr>
              <w:pStyle w:val="TH-TableHeading"/>
              <w:jc w:val="center"/>
            </w:pPr>
            <w:r w:rsidRPr="00055837">
              <w:rPr>
                <w:i/>
                <w:iCs/>
                <w:sz w:val="20"/>
                <w:szCs w:val="20"/>
              </w:rPr>
              <w:t>(e.g., with higher learning loss)</w:t>
            </w:r>
          </w:p>
        </w:tc>
        <w:tc>
          <w:tcPr>
            <w:tcW w:w="2270" w:type="dxa"/>
            <w:tcBorders>
              <w:bottom w:val="single" w:sz="12" w:space="0" w:color="32861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1F0D739E" w14:textId="7A4C88B2" w:rsidR="005836AC" w:rsidRPr="00055837" w:rsidRDefault="625F3064" w:rsidP="00CD02D7">
            <w:pPr>
              <w:pStyle w:val="TH-TableHeading"/>
              <w:jc w:val="center"/>
            </w:pPr>
            <w:r w:rsidRPr="00055837">
              <w:t>For LEAs with declining enrollment</w:t>
            </w:r>
          </w:p>
          <w:p w14:paraId="62192BEB" w14:textId="35D7D204" w:rsidR="005836AC" w:rsidRPr="00055837" w:rsidRDefault="625F3064" w:rsidP="00CD02D7">
            <w:pPr>
              <w:pStyle w:val="TH-TableHeading"/>
              <w:jc w:val="center"/>
              <w:rPr>
                <w:sz w:val="20"/>
                <w:szCs w:val="20"/>
              </w:rPr>
            </w:pPr>
            <w:r w:rsidRPr="00055837">
              <w:rPr>
                <w:i/>
                <w:iCs/>
                <w:sz w:val="20"/>
                <w:szCs w:val="20"/>
              </w:rPr>
              <w:t>(e.g., those closest to the ‘fiscal cliff’)</w:t>
            </w:r>
          </w:p>
        </w:tc>
        <w:tc>
          <w:tcPr>
            <w:tcW w:w="2270" w:type="dxa"/>
            <w:tcBorders>
              <w:bottom w:val="single" w:sz="12" w:space="0" w:color="32861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AB6C70F" w14:textId="1B6549B7" w:rsidR="005836AC" w:rsidRPr="00055837" w:rsidRDefault="625F3064" w:rsidP="00602BD4">
            <w:pPr>
              <w:pStyle w:val="TH-TableHeading"/>
              <w:jc w:val="center"/>
            </w:pPr>
            <w:r w:rsidRPr="00055837">
              <w:t xml:space="preserve">For </w:t>
            </w:r>
            <w:r w:rsidR="009C0C7B" w:rsidRPr="00055837">
              <w:t xml:space="preserve">LEAs </w:t>
            </w:r>
            <w:r w:rsidR="00602BD4">
              <w:br/>
            </w:r>
            <w:r w:rsidR="009C0C7B" w:rsidRPr="00055837">
              <w:t xml:space="preserve">with </w:t>
            </w:r>
            <w:r w:rsidR="00CD02D7" w:rsidRPr="00055837">
              <w:t>CSI/</w:t>
            </w:r>
            <w:proofErr w:type="spellStart"/>
            <w:r w:rsidR="00CD02D7" w:rsidRPr="00055837">
              <w:t>TSI</w:t>
            </w:r>
            <w:proofErr w:type="spellEnd"/>
            <w:r w:rsidR="00CD02D7" w:rsidRPr="00055837">
              <w:t xml:space="preserve"> schools</w:t>
            </w:r>
            <w:r w:rsidRPr="00055837">
              <w:t>?</w:t>
            </w:r>
          </w:p>
        </w:tc>
      </w:tr>
      <w:tr w:rsidR="005836AC" w:rsidRPr="00055837" w14:paraId="48F934B2" w14:textId="77777777" w:rsidTr="00055837">
        <w:trPr>
          <w:cantSplit/>
          <w:trHeight w:val="20"/>
        </w:trPr>
        <w:tc>
          <w:tcPr>
            <w:tcW w:w="3880" w:type="dxa"/>
            <w:tcBorders>
              <w:top w:val="single" w:sz="12" w:space="0" w:color="328612"/>
              <w:right w:val="single" w:sz="4" w:space="0" w:color="328612"/>
            </w:tcBorders>
            <w:shd w:val="clear" w:color="auto" w:fill="EAF4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8AEDFF" w14:textId="0A141707" w:rsidR="005836AC" w:rsidRPr="00055837" w:rsidRDefault="625F3064" w:rsidP="00FA4BE8">
            <w:pPr>
              <w:pStyle w:val="TX-TableText"/>
            </w:pPr>
            <w:r w:rsidRPr="00055837">
              <w:t xml:space="preserve">How much and what % of </w:t>
            </w:r>
            <w:proofErr w:type="spellStart"/>
            <w:r w:rsidRPr="00055837">
              <w:t>ESSER</w:t>
            </w:r>
            <w:proofErr w:type="spellEnd"/>
            <w:r w:rsidRPr="00055837">
              <w:t xml:space="preserve"> III funds remains unspent?</w:t>
            </w:r>
          </w:p>
        </w:tc>
        <w:tc>
          <w:tcPr>
            <w:tcW w:w="2270" w:type="dxa"/>
            <w:tcBorders>
              <w:top w:val="single" w:sz="12" w:space="0" w:color="328612"/>
              <w:left w:val="single" w:sz="4" w:space="0" w:color="328612"/>
              <w:right w:val="single" w:sz="4" w:space="0" w:color="328612"/>
            </w:tcBorders>
            <w:shd w:val="clear" w:color="auto" w:fill="EAF4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D94A5F" w14:textId="77777777" w:rsidR="005836AC" w:rsidRPr="00055837" w:rsidRDefault="005836AC"/>
        </w:tc>
        <w:tc>
          <w:tcPr>
            <w:tcW w:w="2270" w:type="dxa"/>
            <w:tcBorders>
              <w:top w:val="single" w:sz="12" w:space="0" w:color="328612"/>
              <w:left w:val="single" w:sz="4" w:space="0" w:color="328612"/>
              <w:right w:val="single" w:sz="4" w:space="0" w:color="328612"/>
            </w:tcBorders>
            <w:shd w:val="clear" w:color="auto" w:fill="EAF4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06E65E" w14:textId="77777777" w:rsidR="005836AC" w:rsidRPr="00055837" w:rsidRDefault="00C4744C">
            <w:r w:rsidRPr="00055837">
              <w:t xml:space="preserve"> </w:t>
            </w:r>
          </w:p>
        </w:tc>
        <w:tc>
          <w:tcPr>
            <w:tcW w:w="2270" w:type="dxa"/>
            <w:tcBorders>
              <w:top w:val="single" w:sz="12" w:space="0" w:color="328612"/>
              <w:left w:val="single" w:sz="4" w:space="0" w:color="328612"/>
              <w:right w:val="single" w:sz="4" w:space="0" w:color="328612"/>
            </w:tcBorders>
            <w:shd w:val="clear" w:color="auto" w:fill="EAF4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C08567" w14:textId="77777777" w:rsidR="005836AC" w:rsidRPr="00055837" w:rsidRDefault="005836AC"/>
        </w:tc>
        <w:tc>
          <w:tcPr>
            <w:tcW w:w="2270" w:type="dxa"/>
            <w:tcBorders>
              <w:top w:val="single" w:sz="12" w:space="0" w:color="328612"/>
              <w:left w:val="single" w:sz="4" w:space="0" w:color="328612"/>
            </w:tcBorders>
            <w:shd w:val="clear" w:color="auto" w:fill="EAF4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CAB7C8" w14:textId="77777777" w:rsidR="005836AC" w:rsidRPr="00055837" w:rsidRDefault="005836AC"/>
        </w:tc>
      </w:tr>
      <w:tr w:rsidR="005836AC" w:rsidRPr="00055837" w14:paraId="2E495686" w14:textId="77777777" w:rsidTr="00055837">
        <w:trPr>
          <w:cantSplit/>
          <w:trHeight w:val="20"/>
        </w:trPr>
        <w:tc>
          <w:tcPr>
            <w:tcW w:w="3880" w:type="dxa"/>
            <w:tcBorders>
              <w:right w:val="single" w:sz="4" w:space="0" w:color="32861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675D9E" w14:textId="3638B3DC" w:rsidR="005836AC" w:rsidRPr="00055837" w:rsidRDefault="625F3064" w:rsidP="00FA4BE8">
            <w:pPr>
              <w:pStyle w:val="TX-TableText"/>
            </w:pPr>
            <w:r w:rsidRPr="00055837">
              <w:t xml:space="preserve">What % of </w:t>
            </w:r>
            <w:proofErr w:type="spellStart"/>
            <w:r w:rsidRPr="00055837">
              <w:t>ESSER</w:t>
            </w:r>
            <w:proofErr w:type="spellEnd"/>
            <w:r w:rsidRPr="00055837">
              <w:t xml:space="preserve"> III eligible LEAs haven’t spent any of their funds yet?</w:t>
            </w:r>
          </w:p>
        </w:tc>
        <w:tc>
          <w:tcPr>
            <w:tcW w:w="2270" w:type="dxa"/>
            <w:tcBorders>
              <w:left w:val="single" w:sz="4" w:space="0" w:color="328612"/>
              <w:right w:val="single" w:sz="4" w:space="0" w:color="32861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7F3EC7" w14:textId="77777777" w:rsidR="005836AC" w:rsidRPr="00055837" w:rsidRDefault="005836AC"/>
        </w:tc>
        <w:tc>
          <w:tcPr>
            <w:tcW w:w="2270" w:type="dxa"/>
            <w:tcBorders>
              <w:left w:val="single" w:sz="4" w:space="0" w:color="328612"/>
              <w:right w:val="single" w:sz="4" w:space="0" w:color="32861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9843F8" w14:textId="77777777" w:rsidR="005836AC" w:rsidRPr="00055837" w:rsidRDefault="005836AC"/>
        </w:tc>
        <w:tc>
          <w:tcPr>
            <w:tcW w:w="2270" w:type="dxa"/>
            <w:tcBorders>
              <w:left w:val="single" w:sz="4" w:space="0" w:color="328612"/>
              <w:right w:val="single" w:sz="4" w:space="0" w:color="32861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74353E" w14:textId="77777777" w:rsidR="005836AC" w:rsidRPr="00055837" w:rsidRDefault="005836AC"/>
        </w:tc>
        <w:tc>
          <w:tcPr>
            <w:tcW w:w="2270" w:type="dxa"/>
            <w:tcBorders>
              <w:left w:val="single" w:sz="4" w:space="0" w:color="32861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2B758C" w14:textId="77777777" w:rsidR="005836AC" w:rsidRPr="00055837" w:rsidRDefault="005836AC"/>
        </w:tc>
      </w:tr>
      <w:tr w:rsidR="005836AC" w:rsidRPr="00055837" w14:paraId="28C78251" w14:textId="77777777" w:rsidTr="00055837">
        <w:trPr>
          <w:cantSplit/>
          <w:trHeight w:val="20"/>
        </w:trPr>
        <w:tc>
          <w:tcPr>
            <w:tcW w:w="3880" w:type="dxa"/>
            <w:tcBorders>
              <w:right w:val="single" w:sz="4" w:space="0" w:color="328612"/>
            </w:tcBorders>
            <w:shd w:val="clear" w:color="auto" w:fill="EAF4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892447" w14:textId="6B7BE822" w:rsidR="005836AC" w:rsidRPr="00055837" w:rsidRDefault="625F3064" w:rsidP="00FA4BE8">
            <w:pPr>
              <w:pStyle w:val="TX-TableText"/>
            </w:pPr>
            <w:r w:rsidRPr="00055837">
              <w:t>Which LEAs (if any) have spent over 40%?</w:t>
            </w:r>
          </w:p>
        </w:tc>
        <w:tc>
          <w:tcPr>
            <w:tcW w:w="2270" w:type="dxa"/>
            <w:tcBorders>
              <w:left w:val="single" w:sz="4" w:space="0" w:color="328612"/>
              <w:right w:val="single" w:sz="4" w:space="0" w:color="328612"/>
            </w:tcBorders>
            <w:shd w:val="clear" w:color="auto" w:fill="EAF4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418A36" w14:textId="77777777" w:rsidR="005836AC" w:rsidRPr="00055837" w:rsidRDefault="005836AC"/>
        </w:tc>
        <w:tc>
          <w:tcPr>
            <w:tcW w:w="2270" w:type="dxa"/>
            <w:tcBorders>
              <w:left w:val="single" w:sz="4" w:space="0" w:color="328612"/>
              <w:right w:val="single" w:sz="4" w:space="0" w:color="328612"/>
            </w:tcBorders>
            <w:shd w:val="clear" w:color="auto" w:fill="EAF4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603254" w14:textId="77777777" w:rsidR="005836AC" w:rsidRPr="00055837" w:rsidRDefault="005836AC"/>
        </w:tc>
        <w:tc>
          <w:tcPr>
            <w:tcW w:w="2270" w:type="dxa"/>
            <w:tcBorders>
              <w:left w:val="single" w:sz="4" w:space="0" w:color="328612"/>
              <w:right w:val="single" w:sz="4" w:space="0" w:color="328612"/>
            </w:tcBorders>
            <w:shd w:val="clear" w:color="auto" w:fill="EAF4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778BF9" w14:textId="77777777" w:rsidR="005836AC" w:rsidRPr="00055837" w:rsidRDefault="005836AC"/>
        </w:tc>
        <w:tc>
          <w:tcPr>
            <w:tcW w:w="2270" w:type="dxa"/>
            <w:tcBorders>
              <w:left w:val="single" w:sz="4" w:space="0" w:color="328612"/>
            </w:tcBorders>
            <w:shd w:val="clear" w:color="auto" w:fill="EAF4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417F8F" w14:textId="77777777" w:rsidR="005836AC" w:rsidRPr="00055837" w:rsidRDefault="005836AC"/>
        </w:tc>
      </w:tr>
      <w:tr w:rsidR="005836AC" w:rsidRPr="00055837" w14:paraId="7505FA32" w14:textId="77777777" w:rsidTr="00055837">
        <w:trPr>
          <w:cantSplit/>
          <w:trHeight w:val="20"/>
        </w:trPr>
        <w:tc>
          <w:tcPr>
            <w:tcW w:w="3880" w:type="dxa"/>
            <w:tcBorders>
              <w:right w:val="single" w:sz="4" w:space="0" w:color="32861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DF3073" w14:textId="55F65D79" w:rsidR="005836AC" w:rsidRPr="00055837" w:rsidRDefault="00C4744C" w:rsidP="00FA4BE8">
            <w:pPr>
              <w:pStyle w:val="TX-TableText"/>
            </w:pPr>
            <w:r w:rsidRPr="00055837">
              <w:t>How much</w:t>
            </w:r>
            <w:r w:rsidR="0022543C" w:rsidRPr="00055837">
              <w:t>,</w:t>
            </w:r>
            <w:r w:rsidRPr="00055837">
              <w:t xml:space="preserve"> on average</w:t>
            </w:r>
            <w:r w:rsidR="0022543C" w:rsidRPr="00055837">
              <w:t>,</w:t>
            </w:r>
            <w:r w:rsidRPr="00055837">
              <w:t xml:space="preserve"> was spent on salaries (which will give a good sense of how bad the cliff will be)?</w:t>
            </w:r>
          </w:p>
        </w:tc>
        <w:tc>
          <w:tcPr>
            <w:tcW w:w="2270" w:type="dxa"/>
            <w:tcBorders>
              <w:left w:val="single" w:sz="4" w:space="0" w:color="328612"/>
              <w:right w:val="single" w:sz="4" w:space="0" w:color="32861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526924" w14:textId="77777777" w:rsidR="005836AC" w:rsidRPr="00055837" w:rsidRDefault="005836AC"/>
        </w:tc>
        <w:tc>
          <w:tcPr>
            <w:tcW w:w="2270" w:type="dxa"/>
            <w:tcBorders>
              <w:left w:val="single" w:sz="4" w:space="0" w:color="328612"/>
              <w:right w:val="single" w:sz="4" w:space="0" w:color="32861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988136" w14:textId="77777777" w:rsidR="005836AC" w:rsidRPr="00055837" w:rsidRDefault="005836AC"/>
        </w:tc>
        <w:tc>
          <w:tcPr>
            <w:tcW w:w="2270" w:type="dxa"/>
            <w:tcBorders>
              <w:left w:val="single" w:sz="4" w:space="0" w:color="328612"/>
              <w:right w:val="single" w:sz="4" w:space="0" w:color="32861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A1EDA0" w14:textId="77777777" w:rsidR="005836AC" w:rsidRPr="00055837" w:rsidRDefault="005836AC"/>
        </w:tc>
        <w:tc>
          <w:tcPr>
            <w:tcW w:w="2270" w:type="dxa"/>
            <w:tcBorders>
              <w:left w:val="single" w:sz="4" w:space="0" w:color="32861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25FA74" w14:textId="77777777" w:rsidR="005836AC" w:rsidRPr="00055837" w:rsidRDefault="005836AC"/>
        </w:tc>
      </w:tr>
      <w:tr w:rsidR="005836AC" w:rsidRPr="00055837" w14:paraId="541E24FD" w14:textId="77777777" w:rsidTr="00055837">
        <w:trPr>
          <w:cantSplit/>
          <w:trHeight w:val="20"/>
        </w:trPr>
        <w:tc>
          <w:tcPr>
            <w:tcW w:w="3880" w:type="dxa"/>
            <w:tcBorders>
              <w:right w:val="single" w:sz="4" w:space="0" w:color="328612"/>
            </w:tcBorders>
            <w:shd w:val="clear" w:color="auto" w:fill="EAF4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5C4A00" w14:textId="130CD26D" w:rsidR="005836AC" w:rsidRPr="00055837" w:rsidRDefault="00C4744C" w:rsidP="00FA4BE8">
            <w:pPr>
              <w:pStyle w:val="TX-TableText"/>
            </w:pPr>
            <w:r w:rsidRPr="00055837">
              <w:t xml:space="preserve">What is the biggest spending area in your </w:t>
            </w:r>
            <w:r w:rsidR="0022543C" w:rsidRPr="00055837">
              <w:t>SEA</w:t>
            </w:r>
            <w:r w:rsidRPr="00055837">
              <w:t xml:space="preserve">? </w:t>
            </w:r>
          </w:p>
        </w:tc>
        <w:tc>
          <w:tcPr>
            <w:tcW w:w="2270" w:type="dxa"/>
            <w:tcBorders>
              <w:left w:val="single" w:sz="4" w:space="0" w:color="328612"/>
              <w:right w:val="single" w:sz="4" w:space="0" w:color="328612"/>
            </w:tcBorders>
            <w:shd w:val="clear" w:color="auto" w:fill="EAF4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8FA2F6" w14:textId="77777777" w:rsidR="005836AC" w:rsidRPr="00055837" w:rsidRDefault="005836AC"/>
        </w:tc>
        <w:tc>
          <w:tcPr>
            <w:tcW w:w="2270" w:type="dxa"/>
            <w:tcBorders>
              <w:left w:val="single" w:sz="4" w:space="0" w:color="328612"/>
              <w:right w:val="single" w:sz="4" w:space="0" w:color="328612"/>
            </w:tcBorders>
            <w:shd w:val="clear" w:color="auto" w:fill="EAF4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6BA3B7" w14:textId="77777777" w:rsidR="005836AC" w:rsidRPr="00055837" w:rsidRDefault="005836AC"/>
        </w:tc>
        <w:tc>
          <w:tcPr>
            <w:tcW w:w="2270" w:type="dxa"/>
            <w:tcBorders>
              <w:left w:val="single" w:sz="4" w:space="0" w:color="328612"/>
              <w:right w:val="single" w:sz="4" w:space="0" w:color="328612"/>
            </w:tcBorders>
            <w:shd w:val="clear" w:color="auto" w:fill="EAF4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747B72" w14:textId="77777777" w:rsidR="005836AC" w:rsidRPr="00055837" w:rsidRDefault="005836AC"/>
        </w:tc>
        <w:tc>
          <w:tcPr>
            <w:tcW w:w="2270" w:type="dxa"/>
            <w:tcBorders>
              <w:left w:val="single" w:sz="4" w:space="0" w:color="328612"/>
            </w:tcBorders>
            <w:shd w:val="clear" w:color="auto" w:fill="EAF4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B0A7B2" w14:textId="77777777" w:rsidR="005836AC" w:rsidRPr="00055837" w:rsidRDefault="005836AC"/>
        </w:tc>
      </w:tr>
      <w:tr w:rsidR="005836AC" w:rsidRPr="00055837" w14:paraId="247A540D" w14:textId="77777777" w:rsidTr="00055837">
        <w:trPr>
          <w:cantSplit/>
          <w:trHeight w:val="20"/>
        </w:trPr>
        <w:tc>
          <w:tcPr>
            <w:tcW w:w="3880" w:type="dxa"/>
            <w:tcBorders>
              <w:right w:val="single" w:sz="4" w:space="0" w:color="32861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7DE922" w14:textId="21F39058" w:rsidR="005836AC" w:rsidRPr="00055837" w:rsidRDefault="625F3064" w:rsidP="00FA4BE8">
            <w:pPr>
              <w:pStyle w:val="TX-TableText"/>
            </w:pPr>
            <w:r w:rsidRPr="00055837">
              <w:t>On average, are LEAs moving faster to spend the 20% set aside for learning recovery or the remaining 80%?</w:t>
            </w:r>
          </w:p>
        </w:tc>
        <w:tc>
          <w:tcPr>
            <w:tcW w:w="2270" w:type="dxa"/>
            <w:tcBorders>
              <w:left w:val="single" w:sz="4" w:space="0" w:color="328612"/>
              <w:right w:val="single" w:sz="4" w:space="0" w:color="32861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65946B" w14:textId="77777777" w:rsidR="005836AC" w:rsidRPr="00055837" w:rsidRDefault="005836AC"/>
        </w:tc>
        <w:tc>
          <w:tcPr>
            <w:tcW w:w="2270" w:type="dxa"/>
            <w:tcBorders>
              <w:left w:val="single" w:sz="4" w:space="0" w:color="328612"/>
              <w:right w:val="single" w:sz="4" w:space="0" w:color="32861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FBA942" w14:textId="77777777" w:rsidR="005836AC" w:rsidRPr="00055837" w:rsidRDefault="005836AC"/>
        </w:tc>
        <w:tc>
          <w:tcPr>
            <w:tcW w:w="2270" w:type="dxa"/>
            <w:tcBorders>
              <w:left w:val="single" w:sz="4" w:space="0" w:color="328612"/>
              <w:right w:val="single" w:sz="4" w:space="0" w:color="32861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992165" w14:textId="77777777" w:rsidR="005836AC" w:rsidRPr="00055837" w:rsidRDefault="005836AC"/>
        </w:tc>
        <w:tc>
          <w:tcPr>
            <w:tcW w:w="2270" w:type="dxa"/>
            <w:tcBorders>
              <w:left w:val="single" w:sz="4" w:space="0" w:color="32861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A2E00F" w14:textId="77777777" w:rsidR="005836AC" w:rsidRPr="00055837" w:rsidRDefault="005836AC"/>
        </w:tc>
      </w:tr>
      <w:tr w:rsidR="005836AC" w:rsidRPr="00055837" w14:paraId="467DF3B5" w14:textId="77777777" w:rsidTr="00055837">
        <w:trPr>
          <w:cantSplit/>
          <w:trHeight w:val="20"/>
        </w:trPr>
        <w:tc>
          <w:tcPr>
            <w:tcW w:w="3880" w:type="dxa"/>
            <w:tcBorders>
              <w:right w:val="single" w:sz="4" w:space="0" w:color="328612"/>
            </w:tcBorders>
            <w:shd w:val="clear" w:color="auto" w:fill="EAF4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F73DD5" w14:textId="77777777" w:rsidR="005836AC" w:rsidRPr="00055837" w:rsidRDefault="00C4744C" w:rsidP="00FA4BE8">
            <w:pPr>
              <w:pStyle w:val="TX-TableText"/>
            </w:pPr>
            <w:r w:rsidRPr="00055837">
              <w:t>Are there additional data or details we should be collecting?</w:t>
            </w:r>
          </w:p>
        </w:tc>
        <w:tc>
          <w:tcPr>
            <w:tcW w:w="2270" w:type="dxa"/>
            <w:tcBorders>
              <w:left w:val="single" w:sz="4" w:space="0" w:color="328612"/>
              <w:right w:val="single" w:sz="4" w:space="0" w:color="328612"/>
            </w:tcBorders>
            <w:shd w:val="clear" w:color="auto" w:fill="EAF4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0BD651" w14:textId="77777777" w:rsidR="005836AC" w:rsidRPr="00055837" w:rsidRDefault="005836AC"/>
        </w:tc>
        <w:tc>
          <w:tcPr>
            <w:tcW w:w="2270" w:type="dxa"/>
            <w:tcBorders>
              <w:left w:val="single" w:sz="4" w:space="0" w:color="328612"/>
              <w:right w:val="single" w:sz="4" w:space="0" w:color="328612"/>
            </w:tcBorders>
            <w:shd w:val="clear" w:color="auto" w:fill="EAF4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29B545" w14:textId="77777777" w:rsidR="005836AC" w:rsidRPr="00055837" w:rsidRDefault="005836AC"/>
        </w:tc>
        <w:tc>
          <w:tcPr>
            <w:tcW w:w="2270" w:type="dxa"/>
            <w:tcBorders>
              <w:left w:val="single" w:sz="4" w:space="0" w:color="328612"/>
              <w:right w:val="single" w:sz="4" w:space="0" w:color="328612"/>
            </w:tcBorders>
            <w:shd w:val="clear" w:color="auto" w:fill="EAF4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1BFBB9" w14:textId="77777777" w:rsidR="005836AC" w:rsidRPr="00055837" w:rsidRDefault="005836AC"/>
        </w:tc>
        <w:tc>
          <w:tcPr>
            <w:tcW w:w="2270" w:type="dxa"/>
            <w:tcBorders>
              <w:left w:val="single" w:sz="4" w:space="0" w:color="328612"/>
            </w:tcBorders>
            <w:shd w:val="clear" w:color="auto" w:fill="EAF4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94B203" w14:textId="77777777" w:rsidR="005836AC" w:rsidRPr="00055837" w:rsidRDefault="005836AC"/>
        </w:tc>
      </w:tr>
      <w:tr w:rsidR="005836AC" w:rsidRPr="00055837" w14:paraId="2BEB3ED9" w14:textId="77777777" w:rsidTr="00055837">
        <w:trPr>
          <w:cantSplit/>
          <w:trHeight w:val="20"/>
        </w:trPr>
        <w:tc>
          <w:tcPr>
            <w:tcW w:w="3880" w:type="dxa"/>
            <w:tcBorders>
              <w:bottom w:val="single" w:sz="4" w:space="0" w:color="328612"/>
              <w:right w:val="single" w:sz="4" w:space="0" w:color="32861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FB3FB1" w14:textId="49D7BFC9" w:rsidR="005836AC" w:rsidRPr="00055837" w:rsidRDefault="00602BD4" w:rsidP="00FA4BE8">
            <w:pPr>
              <w:pStyle w:val="TX-TableText"/>
            </w:pPr>
            <w:r>
              <w:t xml:space="preserve">Other: </w:t>
            </w:r>
            <w:r w:rsidR="00C4744C" w:rsidRPr="00055837">
              <w:rPr>
                <w:i/>
              </w:rPr>
              <w:t>Any innovations?</w:t>
            </w:r>
          </w:p>
        </w:tc>
        <w:tc>
          <w:tcPr>
            <w:tcW w:w="2270" w:type="dxa"/>
            <w:tcBorders>
              <w:left w:val="single" w:sz="4" w:space="0" w:color="328612"/>
              <w:bottom w:val="single" w:sz="4" w:space="0" w:color="328612"/>
              <w:right w:val="single" w:sz="4" w:space="0" w:color="32861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C75A72" w14:textId="77777777" w:rsidR="005836AC" w:rsidRPr="00055837" w:rsidRDefault="005836AC"/>
        </w:tc>
        <w:tc>
          <w:tcPr>
            <w:tcW w:w="2270" w:type="dxa"/>
            <w:tcBorders>
              <w:left w:val="single" w:sz="4" w:space="0" w:color="328612"/>
              <w:bottom w:val="single" w:sz="4" w:space="0" w:color="328612"/>
              <w:right w:val="single" w:sz="4" w:space="0" w:color="32861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E58588" w14:textId="77777777" w:rsidR="005836AC" w:rsidRPr="00055837" w:rsidRDefault="005836AC"/>
        </w:tc>
        <w:tc>
          <w:tcPr>
            <w:tcW w:w="2270" w:type="dxa"/>
            <w:tcBorders>
              <w:left w:val="single" w:sz="4" w:space="0" w:color="328612"/>
              <w:bottom w:val="single" w:sz="4" w:space="0" w:color="328612"/>
              <w:right w:val="single" w:sz="4" w:space="0" w:color="32861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407C22" w14:textId="77777777" w:rsidR="005836AC" w:rsidRPr="00055837" w:rsidRDefault="005836AC"/>
        </w:tc>
        <w:tc>
          <w:tcPr>
            <w:tcW w:w="2270" w:type="dxa"/>
            <w:tcBorders>
              <w:left w:val="single" w:sz="4" w:space="0" w:color="328612"/>
              <w:bottom w:val="single" w:sz="4" w:space="0" w:color="32861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E71A5D" w14:textId="77777777" w:rsidR="005836AC" w:rsidRPr="00055837" w:rsidRDefault="005836AC"/>
        </w:tc>
      </w:tr>
    </w:tbl>
    <w:p w14:paraId="4D758D91" w14:textId="57C9FDCA" w:rsidR="0035461A" w:rsidRPr="00055837" w:rsidRDefault="0051342E" w:rsidP="0035461A">
      <w:pPr>
        <w:pStyle w:val="SL-FlLftSgl"/>
        <w:spacing w:before="120"/>
        <w:rPr>
          <w:rFonts w:ascii="Calibri" w:hAnsi="Calibri" w:cs="Calibri"/>
          <w:b/>
          <w:color w:val="356DA2"/>
          <w:sz w:val="20"/>
        </w:rPr>
      </w:pPr>
      <w:hyperlink r:id="rId10" w:tooltip="National Comprehensive Center website." w:history="1">
        <w:proofErr w:type="spellStart"/>
        <w:r w:rsidR="0035461A" w:rsidRPr="00055837">
          <w:rPr>
            <w:rStyle w:val="Hyperlink"/>
            <w:rFonts w:ascii="Calibri" w:hAnsi="Calibri" w:cs="Calibri"/>
            <w:b/>
            <w:sz w:val="20"/>
          </w:rPr>
          <w:t>www.compcenternet</w:t>
        </w:r>
        <w:bookmarkStart w:id="0" w:name="_GoBack"/>
        <w:bookmarkEnd w:id="0"/>
        <w:r w:rsidR="0035461A" w:rsidRPr="00055837">
          <w:rPr>
            <w:rStyle w:val="Hyperlink"/>
            <w:rFonts w:ascii="Calibri" w:hAnsi="Calibri" w:cs="Calibri"/>
            <w:b/>
            <w:sz w:val="20"/>
          </w:rPr>
          <w:t>w</w:t>
        </w:r>
        <w:r w:rsidR="0035461A" w:rsidRPr="00055837">
          <w:rPr>
            <w:rStyle w:val="Hyperlink"/>
            <w:rFonts w:ascii="Calibri" w:hAnsi="Calibri" w:cs="Calibri"/>
            <w:b/>
            <w:sz w:val="20"/>
          </w:rPr>
          <w:t>ork.org</w:t>
        </w:r>
        <w:proofErr w:type="spellEnd"/>
      </w:hyperlink>
    </w:p>
    <w:sectPr w:rsidR="0035461A" w:rsidRPr="00055837" w:rsidSect="0035461A">
      <w:footerReference w:type="first" r:id="rId11"/>
      <w:pgSz w:w="15840" w:h="12240" w:orient="landscape" w:code="1"/>
      <w:pgMar w:top="720" w:right="1440" w:bottom="720" w:left="1440" w:header="288" w:footer="50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5DAA0" w14:textId="77777777" w:rsidR="00611F8E" w:rsidRDefault="00611F8E">
      <w:r>
        <w:separator/>
      </w:r>
    </w:p>
  </w:endnote>
  <w:endnote w:type="continuationSeparator" w:id="0">
    <w:p w14:paraId="24742BFB" w14:textId="77777777" w:rsidR="00611F8E" w:rsidRDefault="0061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83DC6" w14:textId="1261B10D" w:rsidR="004F6A06" w:rsidRPr="004F6A06" w:rsidRDefault="004F6A06" w:rsidP="0035461A">
    <w:pPr>
      <w:tabs>
        <w:tab w:val="left" w:pos="11400"/>
        <w:tab w:val="right" w:pos="12960"/>
      </w:tabs>
      <w:rPr>
        <w:rFonts w:ascii="Calibri" w:hAnsi="Calibri" w:cs="Calibri"/>
        <w:color w:val="356DA2"/>
        <w:sz w:val="20"/>
      </w:rPr>
    </w:pPr>
    <w:r w:rsidRPr="004F6A06">
      <w:rPr>
        <w:rFonts w:ascii="Calibri" w:hAnsi="Calibri" w:cs="Calibri"/>
        <w:b/>
        <w:color w:val="356DA2"/>
        <w:sz w:val="20"/>
      </w:rPr>
      <w:tab/>
    </w:r>
    <w:r w:rsidR="0035461A">
      <w:rPr>
        <w:rFonts w:ascii="Calibri" w:hAnsi="Calibri" w:cs="Calibri"/>
        <w:b/>
        <w:color w:val="356DA2"/>
        <w:sz w:val="20"/>
      </w:rPr>
      <w:tab/>
    </w:r>
    <w:r w:rsidRPr="005A1346">
      <w:rPr>
        <w:rFonts w:ascii="Calibri" w:hAnsi="Calibri" w:cs="Calibri"/>
        <w:color w:val="356DA2"/>
        <w:position w:val="18"/>
        <w:sz w:val="20"/>
      </w:rPr>
      <w:fldChar w:fldCharType="begin"/>
    </w:r>
    <w:r w:rsidRPr="005A1346">
      <w:rPr>
        <w:rFonts w:ascii="Calibri" w:hAnsi="Calibri" w:cs="Calibri"/>
        <w:color w:val="356DA2"/>
        <w:position w:val="18"/>
        <w:sz w:val="20"/>
      </w:rPr>
      <w:instrText xml:space="preserve"> PAGE   \* MERGEFORMAT </w:instrText>
    </w:r>
    <w:r w:rsidRPr="005A1346">
      <w:rPr>
        <w:rFonts w:ascii="Calibri" w:hAnsi="Calibri" w:cs="Calibri"/>
        <w:color w:val="356DA2"/>
        <w:position w:val="18"/>
        <w:sz w:val="20"/>
      </w:rPr>
      <w:fldChar w:fldCharType="separate"/>
    </w:r>
    <w:r w:rsidR="0051342E">
      <w:rPr>
        <w:rFonts w:ascii="Calibri" w:hAnsi="Calibri" w:cs="Calibri"/>
        <w:noProof/>
        <w:color w:val="356DA2"/>
        <w:position w:val="18"/>
        <w:sz w:val="20"/>
      </w:rPr>
      <w:t>1</w:t>
    </w:r>
    <w:r w:rsidRPr="005A1346">
      <w:rPr>
        <w:rFonts w:ascii="Calibri" w:hAnsi="Calibri" w:cs="Calibri"/>
        <w:noProof/>
        <w:color w:val="356DA2"/>
        <w:position w:val="18"/>
        <w:sz w:val="20"/>
      </w:rPr>
      <w:fldChar w:fldCharType="end"/>
    </w:r>
    <w:r w:rsidR="005A1346" w:rsidRPr="004F6A06">
      <w:rPr>
        <w:rFonts w:ascii="Calibri" w:hAnsi="Calibri" w:cs="Calibri"/>
        <w:noProof/>
        <w:color w:val="356DA2"/>
        <w:sz w:val="20"/>
      </w:rPr>
      <w:drawing>
        <wp:inline distT="0" distB="0" distL="0" distR="0" wp14:anchorId="2CD47E56" wp14:editId="17E223E3">
          <wp:extent cx="100330" cy="310515"/>
          <wp:effectExtent l="0" t="0" r="0" b="0"/>
          <wp:docPr id="6" name="Picture 6" descr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en_triangle_footer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310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26E6D" w14:textId="77777777" w:rsidR="00611F8E" w:rsidRDefault="00611F8E">
      <w:r>
        <w:separator/>
      </w:r>
    </w:p>
  </w:footnote>
  <w:footnote w:type="continuationSeparator" w:id="0">
    <w:p w14:paraId="2F9A1BDC" w14:textId="77777777" w:rsidR="00611F8E" w:rsidRDefault="00611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9402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BCC3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042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A4E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44DC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DCF8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C085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D4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6E6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C40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D002F3"/>
    <w:multiLevelType w:val="hybridMultilevel"/>
    <w:tmpl w:val="235CCAEE"/>
    <w:lvl w:ilvl="0" w:tplc="84981DA2">
      <w:start w:val="1"/>
      <w:numFmt w:val="bullet"/>
      <w:pStyle w:val="N1-1stBullet"/>
      <w:lvlText w:val="»"/>
      <w:lvlJc w:val="left"/>
      <w:pPr>
        <w:tabs>
          <w:tab w:val="num" w:pos="1152"/>
        </w:tabs>
        <w:ind w:left="1152" w:hanging="576"/>
      </w:pPr>
      <w:rPr>
        <w:rFonts w:ascii="Calibri" w:hAnsi="Calibri" w:hint="default"/>
        <w:color w:val="328612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E24938"/>
    <w:multiLevelType w:val="hybridMultilevel"/>
    <w:tmpl w:val="BD4ED9E8"/>
    <w:lvl w:ilvl="0" w:tplc="1CEC10D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Cambria" w:hAnsi="Cambria" w:hint="default"/>
        <w:b/>
        <w:i w:val="0"/>
        <w:caps w:val="0"/>
        <w:color w:val="356DA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495D27"/>
    <w:multiLevelType w:val="singleLevel"/>
    <w:tmpl w:val="36FA6372"/>
    <w:lvl w:ilvl="0">
      <w:start w:val="1"/>
      <w:numFmt w:val="bullet"/>
      <w:lvlText w:val="›"/>
      <w:lvlJc w:val="left"/>
      <w:pPr>
        <w:tabs>
          <w:tab w:val="num" w:pos="1728"/>
        </w:tabs>
        <w:ind w:left="1728" w:hanging="576"/>
      </w:pPr>
      <w:rPr>
        <w:rFonts w:ascii="Calibri" w:hAnsi="Calibri" w:hint="default"/>
        <w:color w:val="26A642"/>
        <w:sz w:val="22"/>
        <w:szCs w:val="36"/>
      </w:rPr>
    </w:lvl>
  </w:abstractNum>
  <w:abstractNum w:abstractNumId="13" w15:restartNumberingAfterBreak="0">
    <w:nsid w:val="3E272F80"/>
    <w:multiLevelType w:val="hybridMultilevel"/>
    <w:tmpl w:val="E9D40A88"/>
    <w:lvl w:ilvl="0" w:tplc="4934E42E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b/>
        <w:i w:val="0"/>
        <w:color w:val="328612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BC1859"/>
    <w:multiLevelType w:val="hybridMultilevel"/>
    <w:tmpl w:val="241A5E20"/>
    <w:lvl w:ilvl="0" w:tplc="B6FA48C6">
      <w:start w:val="1"/>
      <w:numFmt w:val="bullet"/>
      <w:pStyle w:val="TB-Table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41EF5"/>
    <w:multiLevelType w:val="hybridMultilevel"/>
    <w:tmpl w:val="8EF00510"/>
    <w:lvl w:ilvl="0" w:tplc="75ACCB28">
      <w:start w:val="1"/>
      <w:numFmt w:val="bullet"/>
      <w:pStyle w:val="N2-2ndBullet"/>
      <w:lvlText w:val="›"/>
      <w:lvlJc w:val="left"/>
      <w:pPr>
        <w:tabs>
          <w:tab w:val="num" w:pos="1728"/>
        </w:tabs>
        <w:ind w:left="1728" w:hanging="576"/>
      </w:pPr>
      <w:rPr>
        <w:rFonts w:ascii="Calibri" w:hAnsi="Calibri" w:hint="default"/>
        <w:b/>
        <w:i w:val="0"/>
        <w:color w:val="356DA2"/>
        <w:sz w:val="22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14"/>
  </w:num>
  <w:num w:numId="16">
    <w:abstractNumId w:val="10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5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AC"/>
    <w:rsid w:val="000364DA"/>
    <w:rsid w:val="00055837"/>
    <w:rsid w:val="0015582D"/>
    <w:rsid w:val="001947CA"/>
    <w:rsid w:val="001F73E0"/>
    <w:rsid w:val="0022543C"/>
    <w:rsid w:val="0035461A"/>
    <w:rsid w:val="003B3FFE"/>
    <w:rsid w:val="00400D0A"/>
    <w:rsid w:val="00425500"/>
    <w:rsid w:val="004415B5"/>
    <w:rsid w:val="004D1AB6"/>
    <w:rsid w:val="004F6A06"/>
    <w:rsid w:val="0051342E"/>
    <w:rsid w:val="005836AC"/>
    <w:rsid w:val="005A1346"/>
    <w:rsid w:val="005A5916"/>
    <w:rsid w:val="006000AF"/>
    <w:rsid w:val="00602BD4"/>
    <w:rsid w:val="00611F8E"/>
    <w:rsid w:val="006A1188"/>
    <w:rsid w:val="006A3A7F"/>
    <w:rsid w:val="00973DAC"/>
    <w:rsid w:val="009C0C7B"/>
    <w:rsid w:val="009F7F26"/>
    <w:rsid w:val="00B73D7B"/>
    <w:rsid w:val="00C4744C"/>
    <w:rsid w:val="00CD02D7"/>
    <w:rsid w:val="00D05A07"/>
    <w:rsid w:val="00E001B7"/>
    <w:rsid w:val="00E83DD3"/>
    <w:rsid w:val="00E9100F"/>
    <w:rsid w:val="00EC3ED7"/>
    <w:rsid w:val="00ED4D67"/>
    <w:rsid w:val="00F31E13"/>
    <w:rsid w:val="00F573F6"/>
    <w:rsid w:val="00F620C3"/>
    <w:rsid w:val="00F96360"/>
    <w:rsid w:val="00FA4BE8"/>
    <w:rsid w:val="625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B23EA0"/>
  <w15:docId w15:val="{794988A3-1557-4B5F-8C12-516A6ADA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BE8"/>
    <w:pPr>
      <w:spacing w:line="240" w:lineRule="atLeast"/>
    </w:pPr>
    <w:rPr>
      <w:rFonts w:ascii="Garamond" w:eastAsia="Times New Roman" w:hAnsi="Garamond" w:cs="Times New Roman"/>
      <w:szCs w:val="20"/>
    </w:rPr>
  </w:style>
  <w:style w:type="paragraph" w:styleId="Heading1">
    <w:name w:val="heading 1"/>
    <w:aliases w:val="H1-Chap. Head"/>
    <w:basedOn w:val="Normal"/>
    <w:qFormat/>
    <w:rsid w:val="00FA4BE8"/>
    <w:pPr>
      <w:keepNext/>
      <w:tabs>
        <w:tab w:val="left" w:pos="1152"/>
      </w:tabs>
      <w:spacing w:before="720" w:after="360" w:line="600" w:lineRule="atLeast"/>
      <w:outlineLvl w:val="0"/>
    </w:pPr>
    <w:rPr>
      <w:rFonts w:asciiTheme="majorHAnsi" w:hAnsiTheme="majorHAnsi" w:cstheme="minorHAnsi"/>
      <w:b/>
      <w:color w:val="356DA2"/>
      <w:sz w:val="48"/>
      <w:szCs w:val="48"/>
    </w:rPr>
  </w:style>
  <w:style w:type="paragraph" w:styleId="Heading2">
    <w:name w:val="heading 2"/>
    <w:aliases w:val="H2-Sec. Head"/>
    <w:basedOn w:val="Heading1"/>
    <w:next w:val="L1-FlLSp12"/>
    <w:qFormat/>
    <w:rsid w:val="00FA4BE8"/>
    <w:pPr>
      <w:spacing w:before="0" w:after="72" w:line="440" w:lineRule="atLeast"/>
      <w:ind w:left="1152" w:hanging="1152"/>
      <w:outlineLvl w:val="1"/>
    </w:pPr>
    <w:rPr>
      <w:rFonts w:asciiTheme="minorHAnsi" w:hAnsiTheme="minorHAnsi"/>
      <w:b w:val="0"/>
      <w:color w:val="328612"/>
      <w:sz w:val="36"/>
      <w:szCs w:val="36"/>
    </w:rPr>
  </w:style>
  <w:style w:type="paragraph" w:styleId="Heading3">
    <w:name w:val="heading 3"/>
    <w:aliases w:val="H3-Sec. Head"/>
    <w:basedOn w:val="Heading1"/>
    <w:next w:val="L1-FlLSp12"/>
    <w:qFormat/>
    <w:rsid w:val="00FA4BE8"/>
    <w:pPr>
      <w:spacing w:before="120" w:after="72" w:line="380" w:lineRule="atLeast"/>
      <w:ind w:left="1152" w:hanging="1152"/>
      <w:outlineLvl w:val="2"/>
    </w:pPr>
    <w:rPr>
      <w:rFonts w:asciiTheme="minorHAnsi" w:hAnsiTheme="minorHAnsi"/>
      <w:sz w:val="32"/>
      <w:szCs w:val="32"/>
    </w:rPr>
  </w:style>
  <w:style w:type="paragraph" w:styleId="Heading4">
    <w:name w:val="heading 4"/>
    <w:aliases w:val="H4-Sec. Head"/>
    <w:basedOn w:val="Heading1"/>
    <w:next w:val="L1-FlLSp12"/>
    <w:qFormat/>
    <w:rsid w:val="00FA4BE8"/>
    <w:pPr>
      <w:spacing w:before="0" w:after="70" w:line="280" w:lineRule="atLeast"/>
      <w:ind w:left="1152" w:hanging="1152"/>
      <w:outlineLvl w:val="3"/>
    </w:pPr>
    <w:rPr>
      <w:rFonts w:asciiTheme="minorHAnsi" w:hAnsiTheme="minorHAnsi"/>
      <w:b w:val="0"/>
      <w:sz w:val="26"/>
      <w:szCs w:val="26"/>
    </w:rPr>
  </w:style>
  <w:style w:type="paragraph" w:styleId="Heading5">
    <w:name w:val="heading 5"/>
    <w:aliases w:val="H5-Sec. Head"/>
    <w:basedOn w:val="Heading1"/>
    <w:next w:val="L1-FlLSp12"/>
    <w:qFormat/>
    <w:rsid w:val="00FA4BE8"/>
    <w:pPr>
      <w:keepLines/>
      <w:spacing w:before="0" w:after="72" w:line="240" w:lineRule="atLeast"/>
      <w:ind w:left="1152" w:hanging="1152"/>
      <w:outlineLvl w:val="4"/>
    </w:pPr>
    <w:rPr>
      <w:rFonts w:asciiTheme="minorHAnsi" w:hAnsiTheme="minorHAnsi"/>
      <w:sz w:val="22"/>
      <w:szCs w:val="22"/>
    </w:rPr>
  </w:style>
  <w:style w:type="paragraph" w:styleId="Heading6">
    <w:name w:val="heading 6"/>
    <w:basedOn w:val="SL-FlLftSgl"/>
    <w:next w:val="Normal"/>
    <w:qFormat/>
    <w:rsid w:val="00FA4BE8"/>
    <w:pPr>
      <w:shd w:val="clear" w:color="auto" w:fill="EAF4EF"/>
      <w:spacing w:after="140" w:line="300" w:lineRule="atLeast"/>
      <w:outlineLvl w:val="5"/>
    </w:pPr>
    <w:rPr>
      <w:rFonts w:asciiTheme="minorHAnsi" w:hAnsiTheme="minorHAnsi" w:cstheme="minorHAnsi"/>
      <w:b/>
      <w:color w:val="356DA2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FA4BE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FA4BE8"/>
    <w:pPr>
      <w:pBdr>
        <w:bottom w:val="single" w:sz="4" w:space="1" w:color="328612"/>
      </w:pBdr>
    </w:pPr>
    <w:rPr>
      <w:rFonts w:asciiTheme="minorHAnsi" w:hAnsiTheme="minorHAnsi" w:cstheme="minorHAnsi"/>
      <w:color w:val="356DA2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A03E2"/>
    <w:rPr>
      <w:rFonts w:asciiTheme="minorHAnsi" w:eastAsia="Times New Roman" w:hAnsiTheme="minorHAnsi" w:cstheme="minorHAnsi"/>
      <w:color w:val="356DA2"/>
      <w:sz w:val="22"/>
      <w:szCs w:val="22"/>
    </w:rPr>
  </w:style>
  <w:style w:type="paragraph" w:styleId="Footer">
    <w:name w:val="footer"/>
    <w:basedOn w:val="Normal"/>
    <w:link w:val="FooterChar"/>
    <w:rsid w:val="00FA4BE8"/>
  </w:style>
  <w:style w:type="character" w:customStyle="1" w:styleId="FooterChar">
    <w:name w:val="Footer Char"/>
    <w:basedOn w:val="DefaultParagraphFont"/>
    <w:link w:val="Footer"/>
    <w:rsid w:val="00AA03E2"/>
    <w:rPr>
      <w:rFonts w:ascii="Garamond" w:eastAsia="Times New Roman" w:hAnsi="Garamond" w:cs="Times New Roman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41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15B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1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5B5"/>
    <w:rPr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FA4BE8"/>
    <w:rPr>
      <w:rFonts w:ascii="Garamond" w:eastAsia="Times New Roman" w:hAnsi="Garamond" w:cs="Times New Roman"/>
      <w:szCs w:val="20"/>
    </w:rPr>
  </w:style>
  <w:style w:type="paragraph" w:customStyle="1" w:styleId="C1-CtrBoldHd">
    <w:name w:val="C1-Ctr BoldHd"/>
    <w:rsid w:val="00FA4BE8"/>
    <w:pPr>
      <w:keepNext/>
      <w:spacing w:after="720" w:line="240" w:lineRule="atLeast"/>
      <w:jc w:val="center"/>
    </w:pPr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FA4BE8"/>
    <w:pPr>
      <w:keepLines/>
      <w:jc w:val="center"/>
    </w:pPr>
  </w:style>
  <w:style w:type="paragraph" w:customStyle="1" w:styleId="C3-CtrSp12">
    <w:name w:val="C3-Ctr Sp&amp;1/2"/>
    <w:basedOn w:val="Normal"/>
    <w:rsid w:val="00FA4BE8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FA4BE8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FA4BE8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link w:val="FootnoteTextChar"/>
    <w:semiHidden/>
    <w:rsid w:val="00FA4BE8"/>
    <w:pPr>
      <w:tabs>
        <w:tab w:val="left" w:pos="120"/>
      </w:tabs>
      <w:spacing w:after="60" w:line="220" w:lineRule="atLeast"/>
      <w:ind w:left="115" w:hanging="115"/>
    </w:pPr>
    <w:rPr>
      <w:rFonts w:asciiTheme="majorHAnsi" w:eastAsia="Times New Roman" w:hAnsiTheme="majorHAnsi" w:cs="Times New Roman"/>
      <w:color w:val="2F4550"/>
      <w:sz w:val="16"/>
      <w:szCs w:val="16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FA4BE8"/>
    <w:rPr>
      <w:rFonts w:asciiTheme="majorHAnsi" w:eastAsia="Times New Roman" w:hAnsiTheme="majorHAnsi" w:cs="Times New Roman"/>
      <w:color w:val="2F4550"/>
      <w:sz w:val="16"/>
      <w:szCs w:val="16"/>
    </w:rPr>
  </w:style>
  <w:style w:type="paragraph" w:customStyle="1" w:styleId="L1-FlLSp12">
    <w:name w:val="L1-FlL Sp&amp;1/2"/>
    <w:basedOn w:val="Normal"/>
    <w:rsid w:val="00FA4BE8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FA4BE8"/>
    <w:pPr>
      <w:spacing w:after="360" w:line="400" w:lineRule="atLeast"/>
      <w:ind w:left="864"/>
    </w:pPr>
    <w:rPr>
      <w:rFonts w:asciiTheme="majorHAnsi" w:hAnsiTheme="majorHAnsi"/>
      <w:color w:val="26A642"/>
      <w:sz w:val="28"/>
      <w:szCs w:val="28"/>
    </w:rPr>
  </w:style>
  <w:style w:type="paragraph" w:customStyle="1" w:styleId="N1-1stBullet">
    <w:name w:val="N1-1st Bullet"/>
    <w:basedOn w:val="Normal"/>
    <w:rsid w:val="00FA4BE8"/>
    <w:pPr>
      <w:numPr>
        <w:numId w:val="2"/>
      </w:numPr>
      <w:spacing w:after="90" w:line="300" w:lineRule="atLeast"/>
      <w:ind w:left="288" w:hanging="288"/>
    </w:pPr>
    <w:rPr>
      <w:rFonts w:asciiTheme="majorHAnsi" w:hAnsiTheme="majorHAnsi" w:cstheme="minorHAnsi"/>
      <w:color w:val="333D40"/>
      <w:sz w:val="22"/>
      <w:szCs w:val="22"/>
    </w:rPr>
  </w:style>
  <w:style w:type="paragraph" w:customStyle="1" w:styleId="N2-2ndBullet">
    <w:name w:val="N2-2nd Bullet"/>
    <w:basedOn w:val="Normal"/>
    <w:rsid w:val="00FA4BE8"/>
    <w:pPr>
      <w:numPr>
        <w:numId w:val="18"/>
      </w:numPr>
      <w:tabs>
        <w:tab w:val="clear" w:pos="1728"/>
      </w:tabs>
      <w:spacing w:after="90" w:line="300" w:lineRule="atLeast"/>
      <w:ind w:left="576" w:hanging="288"/>
    </w:pPr>
    <w:rPr>
      <w:rFonts w:asciiTheme="majorHAnsi" w:hAnsiTheme="majorHAnsi" w:cstheme="minorHAnsi"/>
      <w:color w:val="333D40"/>
      <w:sz w:val="22"/>
      <w:szCs w:val="22"/>
    </w:rPr>
  </w:style>
  <w:style w:type="paragraph" w:customStyle="1" w:styleId="N3-3rdBullet">
    <w:name w:val="N3-3rd Bullet"/>
    <w:basedOn w:val="Normal"/>
    <w:rsid w:val="00FA4BE8"/>
    <w:pPr>
      <w:numPr>
        <w:numId w:val="3"/>
      </w:numPr>
      <w:spacing w:after="180" w:line="300" w:lineRule="atLeast"/>
      <w:ind w:left="288" w:hanging="288"/>
    </w:pPr>
    <w:rPr>
      <w:rFonts w:asciiTheme="majorHAnsi" w:hAnsiTheme="majorHAnsi"/>
      <w:color w:val="333D40"/>
      <w:sz w:val="22"/>
      <w:szCs w:val="22"/>
    </w:rPr>
  </w:style>
  <w:style w:type="paragraph" w:customStyle="1" w:styleId="N4-4thBullet">
    <w:name w:val="N4-4th Bullet"/>
    <w:basedOn w:val="Normal"/>
    <w:rsid w:val="00FA4BE8"/>
    <w:pPr>
      <w:numPr>
        <w:numId w:val="4"/>
      </w:numPr>
      <w:tabs>
        <w:tab w:val="clear" w:pos="2880"/>
      </w:tabs>
      <w:spacing w:after="180" w:line="300" w:lineRule="atLeast"/>
      <w:ind w:left="576" w:hanging="288"/>
    </w:pPr>
    <w:rPr>
      <w:rFonts w:ascii="Cambria" w:hAnsi="Cambria"/>
      <w:color w:val="333D40"/>
      <w:sz w:val="22"/>
      <w:szCs w:val="22"/>
    </w:rPr>
  </w:style>
  <w:style w:type="paragraph" w:customStyle="1" w:styleId="N5-5thBullet">
    <w:name w:val="N5-5th Bullet"/>
    <w:basedOn w:val="Normal"/>
    <w:rsid w:val="00FA4BE8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FA4BE8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FA4BE8"/>
    <w:pPr>
      <w:pBdr>
        <w:top w:val="single" w:sz="12" w:space="6" w:color="26A642"/>
        <w:bottom w:val="single" w:sz="12" w:space="6" w:color="26A642"/>
      </w:pBdr>
      <w:tabs>
        <w:tab w:val="left" w:pos="1152"/>
      </w:tabs>
      <w:spacing w:after="180" w:line="380" w:lineRule="atLeast"/>
      <w:ind w:left="360"/>
    </w:pPr>
    <w:rPr>
      <w:rFonts w:asciiTheme="minorHAnsi" w:hAnsiTheme="minorHAnsi" w:cstheme="minorHAnsi"/>
      <w:color w:val="356DA2"/>
      <w:sz w:val="30"/>
      <w:szCs w:val="30"/>
    </w:rPr>
  </w:style>
  <w:style w:type="paragraph" w:customStyle="1" w:styleId="N8-QxQBlock">
    <w:name w:val="N8-QxQ Block"/>
    <w:basedOn w:val="Normal"/>
    <w:rsid w:val="00FA4BE8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FA4BE8"/>
    <w:pPr>
      <w:spacing w:line="360" w:lineRule="atLeast"/>
      <w:ind w:firstLine="1152"/>
    </w:pPr>
  </w:style>
  <w:style w:type="paragraph" w:customStyle="1" w:styleId="Q1-BestFinQ">
    <w:name w:val="Q1-Best/Fin Q"/>
    <w:rsid w:val="00FA4BE8"/>
    <w:pPr>
      <w:keepNext/>
      <w:spacing w:line="240" w:lineRule="atLeast"/>
      <w:ind w:left="1152" w:hanging="1152"/>
    </w:pPr>
    <w:rPr>
      <w:rFonts w:ascii="Franklin Gothic Medium" w:eastAsia="Times New Roman" w:hAnsi="Franklin Gothic Medium" w:cs="Times New Roman Bold"/>
      <w:b/>
      <w:szCs w:val="20"/>
    </w:rPr>
  </w:style>
  <w:style w:type="paragraph" w:customStyle="1" w:styleId="SH-SglSpHead">
    <w:name w:val="SH-Sgl Sp Head"/>
    <w:rsid w:val="00FA4BE8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eastAsia="Times New Roman" w:hAnsi="Franklin Gothic Medium" w:cs="Times New Roman"/>
      <w:color w:val="324162"/>
      <w:szCs w:val="20"/>
    </w:rPr>
  </w:style>
  <w:style w:type="paragraph" w:customStyle="1" w:styleId="SL-FlLftSgl">
    <w:name w:val="SL-Fl Lft Sgl"/>
    <w:basedOn w:val="Normal"/>
    <w:rsid w:val="00FA4BE8"/>
    <w:pPr>
      <w:spacing w:after="180" w:line="320" w:lineRule="atLeast"/>
    </w:pPr>
    <w:rPr>
      <w:rFonts w:ascii="Cambria" w:hAnsi="Cambria"/>
      <w:color w:val="333D40"/>
      <w:sz w:val="22"/>
      <w:szCs w:val="22"/>
    </w:rPr>
  </w:style>
  <w:style w:type="paragraph" w:customStyle="1" w:styleId="SP-SglSpPara">
    <w:name w:val="SP-Sgl Sp Para"/>
    <w:basedOn w:val="Normal"/>
    <w:rsid w:val="00FA4BE8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FA4BE8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FA4BE8"/>
    <w:pPr>
      <w:tabs>
        <w:tab w:val="right" w:pos="8460"/>
      </w:tabs>
      <w:spacing w:before="90" w:after="160" w:line="300" w:lineRule="atLeast"/>
      <w:ind w:left="864" w:right="864"/>
    </w:pPr>
    <w:rPr>
      <w:rFonts w:asciiTheme="majorHAnsi" w:hAnsiTheme="majorHAnsi"/>
      <w:color w:val="333D40"/>
      <w:sz w:val="26"/>
      <w:szCs w:val="26"/>
    </w:rPr>
  </w:style>
  <w:style w:type="paragraph" w:styleId="TOC2">
    <w:name w:val="toc 2"/>
    <w:basedOn w:val="Normal"/>
    <w:semiHidden/>
    <w:rsid w:val="00FA4BE8"/>
    <w:pPr>
      <w:tabs>
        <w:tab w:val="right" w:pos="8460"/>
      </w:tabs>
      <w:spacing w:before="90" w:after="160" w:line="300" w:lineRule="atLeast"/>
      <w:ind w:left="1440" w:right="864"/>
    </w:pPr>
    <w:rPr>
      <w:rFonts w:asciiTheme="majorHAnsi" w:hAnsiTheme="majorHAnsi"/>
      <w:i/>
      <w:color w:val="333D40"/>
      <w:sz w:val="26"/>
      <w:szCs w:val="26"/>
    </w:rPr>
  </w:style>
  <w:style w:type="paragraph" w:styleId="TOC3">
    <w:name w:val="toc 3"/>
    <w:basedOn w:val="Normal"/>
    <w:semiHidden/>
    <w:rsid w:val="00FA4BE8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FA4BE8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FA4BE8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FA4BE8"/>
    <w:pPr>
      <w:keepNext/>
      <w:tabs>
        <w:tab w:val="left" w:pos="1440"/>
      </w:tabs>
      <w:spacing w:before="80" w:after="140" w:line="300" w:lineRule="atLeast"/>
      <w:ind w:left="1440" w:hanging="1440"/>
    </w:pPr>
    <w:rPr>
      <w:rFonts w:eastAsia="Times New Roman"/>
      <w:b/>
      <w:color w:val="328612"/>
      <w:sz w:val="26"/>
      <w:szCs w:val="26"/>
    </w:rPr>
  </w:style>
  <w:style w:type="paragraph" w:customStyle="1" w:styleId="CT-ContractInformation">
    <w:name w:val="CT-Contract Information"/>
    <w:basedOn w:val="Normal"/>
    <w:rsid w:val="00FA4BE8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FA4BE8"/>
    <w:pPr>
      <w:spacing w:line="240" w:lineRule="atLeast"/>
      <w:ind w:left="288"/>
    </w:pPr>
    <w:rPr>
      <w:rFonts w:ascii="Garamond" w:eastAsia="Times New Roman" w:hAnsi="Garamond" w:cs="Times New Roman"/>
      <w:szCs w:val="20"/>
    </w:rPr>
  </w:style>
  <w:style w:type="paragraph" w:customStyle="1" w:styleId="R2-ResBullet">
    <w:name w:val="R2-Res Bullet"/>
    <w:basedOn w:val="Normal"/>
    <w:rsid w:val="00FA4BE8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FA4BE8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FA4BE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eastAsia="Times New Roman" w:hAnsi="Franklin Gothic Medium" w:cs="Times New Roman"/>
      <w:b/>
      <w:color w:val="324162"/>
      <w:sz w:val="36"/>
      <w:szCs w:val="20"/>
      <w:u w:color="324162"/>
    </w:rPr>
  </w:style>
  <w:style w:type="paragraph" w:customStyle="1" w:styleId="RL-FlLftSgl">
    <w:name w:val="RL-Fl Lft Sgl"/>
    <w:rsid w:val="00FA4BE8"/>
    <w:pPr>
      <w:keepNext/>
      <w:spacing w:line="240" w:lineRule="atLeast"/>
    </w:pPr>
    <w:rPr>
      <w:rFonts w:ascii="Franklin Gothic Medium" w:eastAsia="Times New Roman" w:hAnsi="Franklin Gothic Medium" w:cs="Times New Roman"/>
      <w:b/>
      <w:color w:val="324162"/>
      <w:szCs w:val="20"/>
    </w:rPr>
  </w:style>
  <w:style w:type="paragraph" w:customStyle="1" w:styleId="SU-FlLftUndln">
    <w:name w:val="SU-Fl Lft Undln"/>
    <w:basedOn w:val="Normal"/>
    <w:rsid w:val="00FA4BE8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FA4BE8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eastAsia="Times New Roman" w:hAnsi="Franklin Gothic Medium" w:cs="Times New Roman"/>
      <w:b/>
      <w:color w:val="324162"/>
      <w:sz w:val="20"/>
      <w:szCs w:val="20"/>
    </w:rPr>
  </w:style>
  <w:style w:type="paragraph" w:customStyle="1" w:styleId="TB-TableBullet">
    <w:name w:val="TB-Table Bullet"/>
    <w:basedOn w:val="TX-TableText"/>
    <w:qFormat/>
    <w:rsid w:val="00FA4BE8"/>
    <w:pPr>
      <w:numPr>
        <w:numId w:val="15"/>
      </w:numPr>
    </w:pPr>
  </w:style>
  <w:style w:type="character" w:styleId="PageNumber">
    <w:name w:val="page number"/>
    <w:basedOn w:val="DefaultParagraphFont"/>
    <w:rsid w:val="00FA4BE8"/>
  </w:style>
  <w:style w:type="paragraph" w:customStyle="1" w:styleId="R0-FLLftSglBoldItalic">
    <w:name w:val="R0-FL Lft Sgl Bold Italic"/>
    <w:rsid w:val="00FA4BE8"/>
    <w:pPr>
      <w:keepNext/>
      <w:spacing w:line="240" w:lineRule="atLeast"/>
    </w:pPr>
    <w:rPr>
      <w:rFonts w:ascii="Franklin Gothic Medium" w:eastAsia="Times New Roman" w:hAnsi="Franklin Gothic Medium" w:cs="Times New Roman Bold"/>
      <w:i/>
      <w:szCs w:val="20"/>
    </w:rPr>
  </w:style>
  <w:style w:type="table" w:customStyle="1" w:styleId="TableWestatStandardFormat">
    <w:name w:val="Table Westat Standard Format"/>
    <w:basedOn w:val="TableNormal"/>
    <w:rsid w:val="00FA4BE8"/>
    <w:rPr>
      <w:rFonts w:ascii="Franklin Gothic Medium" w:eastAsia="Times New Roman" w:hAnsi="Franklin Gothic Medium" w:cs="Times New Roman"/>
      <w:sz w:val="20"/>
      <w:szCs w:val="20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FA4BE8"/>
    <w:pPr>
      <w:tabs>
        <w:tab w:val="clear" w:pos="1152"/>
      </w:tabs>
      <w:spacing w:before="240" w:line="720" w:lineRule="atLeast"/>
    </w:pPr>
  </w:style>
  <w:style w:type="paragraph" w:customStyle="1" w:styleId="TF-TblFN">
    <w:name w:val="TF-Tbl FN"/>
    <w:basedOn w:val="FootnoteText"/>
    <w:rsid w:val="00FA4BE8"/>
    <w:pPr>
      <w:spacing w:line="200" w:lineRule="atLeast"/>
    </w:pPr>
    <w:rPr>
      <w:rFonts w:asciiTheme="minorHAnsi" w:hAnsiTheme="minorHAnsi" w:cstheme="minorHAnsi"/>
      <w:color w:val="356DA2"/>
    </w:rPr>
  </w:style>
  <w:style w:type="paragraph" w:customStyle="1" w:styleId="TH-TableHeading">
    <w:name w:val="TH-Table Heading"/>
    <w:basedOn w:val="TT-TableTitle"/>
    <w:rsid w:val="00FA4BE8"/>
    <w:pPr>
      <w:spacing w:before="0" w:after="0" w:line="260" w:lineRule="atLeast"/>
      <w:ind w:left="0" w:firstLine="0"/>
    </w:pPr>
    <w:rPr>
      <w:color w:val="356DA2"/>
    </w:rPr>
  </w:style>
  <w:style w:type="paragraph" w:styleId="TOC6">
    <w:name w:val="toc 6"/>
    <w:semiHidden/>
    <w:rsid w:val="00FA4BE8"/>
    <w:pPr>
      <w:tabs>
        <w:tab w:val="right" w:leader="dot" w:pos="8208"/>
        <w:tab w:val="left" w:pos="8640"/>
      </w:tabs>
      <w:ind w:left="288"/>
    </w:pPr>
    <w:rPr>
      <w:rFonts w:ascii="Garamond" w:eastAsia="Times New Roman" w:hAnsi="Garamond" w:cs="Times New Roman"/>
      <w:szCs w:val="22"/>
    </w:rPr>
  </w:style>
  <w:style w:type="paragraph" w:styleId="TOC7">
    <w:name w:val="toc 7"/>
    <w:semiHidden/>
    <w:rsid w:val="00FA4BE8"/>
    <w:pPr>
      <w:tabs>
        <w:tab w:val="right" w:leader="dot" w:pos="8208"/>
        <w:tab w:val="left" w:pos="8640"/>
      </w:tabs>
      <w:ind w:left="1440"/>
    </w:pPr>
    <w:rPr>
      <w:rFonts w:ascii="Garamond" w:eastAsia="Times New Roman" w:hAnsi="Garamond" w:cs="Times New Roman"/>
      <w:szCs w:val="22"/>
    </w:rPr>
  </w:style>
  <w:style w:type="paragraph" w:styleId="TOC8">
    <w:name w:val="toc 8"/>
    <w:semiHidden/>
    <w:rsid w:val="00FA4BE8"/>
    <w:pPr>
      <w:tabs>
        <w:tab w:val="right" w:leader="dot" w:pos="8208"/>
        <w:tab w:val="left" w:pos="8640"/>
      </w:tabs>
      <w:ind w:left="2160"/>
    </w:pPr>
    <w:rPr>
      <w:rFonts w:ascii="Garamond" w:eastAsia="Times New Roman" w:hAnsi="Garamond" w:cs="Times New Roman"/>
      <w:szCs w:val="22"/>
    </w:rPr>
  </w:style>
  <w:style w:type="paragraph" w:styleId="TOC9">
    <w:name w:val="toc 9"/>
    <w:semiHidden/>
    <w:rsid w:val="00FA4BE8"/>
    <w:pPr>
      <w:tabs>
        <w:tab w:val="right" w:leader="dot" w:pos="8208"/>
        <w:tab w:val="left" w:pos="8640"/>
      </w:tabs>
      <w:ind w:left="3024"/>
    </w:pPr>
    <w:rPr>
      <w:rFonts w:ascii="Garamond" w:eastAsia="Times New Roman" w:hAnsi="Garamond" w:cs="Times New Roman"/>
      <w:szCs w:val="22"/>
    </w:rPr>
  </w:style>
  <w:style w:type="paragraph" w:customStyle="1" w:styleId="TX-TableText">
    <w:name w:val="TX-Table Text"/>
    <w:basedOn w:val="SL-FlLftSgl"/>
    <w:rsid w:val="00FA4BE8"/>
    <w:pPr>
      <w:spacing w:after="0" w:line="260" w:lineRule="atLeast"/>
    </w:pPr>
    <w:rPr>
      <w:rFonts w:asciiTheme="minorHAnsi" w:hAnsiTheme="minorHAnsi"/>
      <w:color w:val="356DA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BE8"/>
    <w:pPr>
      <w:spacing w:line="240" w:lineRule="auto"/>
    </w:pPr>
    <w:rPr>
      <w:rFonts w:ascii="Times New Roman" w:hAnsi="Times New Roman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BE8"/>
    <w:rPr>
      <w:rFonts w:ascii="Times New Roman" w:eastAsia="Times New Roman" w:hAnsi="Times New Roman" w:cs="Tahoma"/>
      <w:sz w:val="20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FA4BE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73DAC"/>
    <w:rPr>
      <w:color w:val="356DA2"/>
      <w:u w:val="single"/>
    </w:rPr>
  </w:style>
  <w:style w:type="character" w:styleId="SubtleReference">
    <w:name w:val="Subtle Reference"/>
    <w:uiPriority w:val="31"/>
    <w:qFormat/>
    <w:rsid w:val="00FA4BE8"/>
    <w:rPr>
      <w:b/>
      <w:sz w:val="22"/>
      <w:szCs w:val="22"/>
    </w:rPr>
  </w:style>
  <w:style w:type="paragraph" w:customStyle="1" w:styleId="CallOutBox">
    <w:name w:val="Call Out Box"/>
    <w:basedOn w:val="Normal"/>
    <w:qFormat/>
    <w:rsid w:val="00FA4BE8"/>
    <w:pPr>
      <w:shd w:val="clear" w:color="auto" w:fill="EAF4EF"/>
      <w:spacing w:after="140" w:line="300" w:lineRule="atLeast"/>
    </w:pPr>
    <w:rPr>
      <w:rFonts w:asciiTheme="minorHAnsi" w:hAnsiTheme="minorHAnsi" w:cstheme="minorHAnsi"/>
      <w:b/>
      <w:color w:val="356DA2"/>
      <w:sz w:val="26"/>
      <w:szCs w:val="26"/>
    </w:rPr>
  </w:style>
  <w:style w:type="paragraph" w:customStyle="1" w:styleId="Quote1">
    <w:name w:val="Quote 1"/>
    <w:basedOn w:val="N7-3Block"/>
    <w:qFormat/>
    <w:rsid w:val="00FA4BE8"/>
    <w:pPr>
      <w:pBdr>
        <w:top w:val="single" w:sz="12" w:space="12" w:color="328612"/>
        <w:bottom w:val="single" w:sz="12" w:space="12" w:color="328612"/>
      </w:pBdr>
      <w:tabs>
        <w:tab w:val="clear" w:pos="1152"/>
      </w:tabs>
      <w:spacing w:before="360"/>
      <w:ind w:left="0"/>
    </w:pPr>
  </w:style>
  <w:style w:type="table" w:styleId="TableGrid">
    <w:name w:val="Table Grid"/>
    <w:basedOn w:val="TableNormal"/>
    <w:uiPriority w:val="59"/>
    <w:rsid w:val="00FA4BE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CW">
    <w:name w:val="NCW"/>
    <w:basedOn w:val="TableNormal"/>
    <w:uiPriority w:val="99"/>
    <w:rsid w:val="00FA4BE8"/>
    <w:rPr>
      <w:rFonts w:ascii="Times New Roman" w:eastAsia="Times New Roman" w:hAnsi="Times New Roman" w:cs="Times New Roman"/>
      <w:sz w:val="20"/>
      <w:szCs w:val="20"/>
    </w:rPr>
    <w:tblPr/>
  </w:style>
  <w:style w:type="table" w:customStyle="1" w:styleId="Style1">
    <w:name w:val="Style1"/>
    <w:basedOn w:val="TableNormal"/>
    <w:uiPriority w:val="99"/>
    <w:rsid w:val="00FA4BE8"/>
    <w:rPr>
      <w:rFonts w:ascii="Times New Roman" w:eastAsia="Times New Roman" w:hAnsi="Times New Roman" w:cs="Times New Roman"/>
      <w:sz w:val="20"/>
      <w:szCs w:val="20"/>
    </w:rPr>
    <w:tblPr/>
  </w:style>
  <w:style w:type="table" w:customStyle="1" w:styleId="NCW1">
    <w:name w:val="NCW 1"/>
    <w:basedOn w:val="TableNormal"/>
    <w:uiPriority w:val="99"/>
    <w:rsid w:val="00FA4BE8"/>
    <w:rPr>
      <w:rFonts w:ascii="Times New Roman" w:eastAsia="Times New Roman" w:hAnsi="Times New Roman" w:cs="Times New Roman"/>
      <w:sz w:val="20"/>
      <w:szCs w:val="20"/>
    </w:rPr>
    <w:tblPr/>
  </w:style>
  <w:style w:type="paragraph" w:customStyle="1" w:styleId="Source">
    <w:name w:val="Source"/>
    <w:basedOn w:val="TF-TblFN"/>
    <w:qFormat/>
    <w:rsid w:val="00FA4BE8"/>
    <w:rPr>
      <w:color w:val="328612"/>
    </w:rPr>
  </w:style>
  <w:style w:type="paragraph" w:customStyle="1" w:styleId="IntroText">
    <w:name w:val="Intro Text"/>
    <w:basedOn w:val="N0-FlLftBullet"/>
    <w:qFormat/>
    <w:rsid w:val="00FA4BE8"/>
    <w:pPr>
      <w:spacing w:after="280" w:line="320" w:lineRule="atLeast"/>
    </w:pPr>
    <w:rPr>
      <w:rFonts w:asciiTheme="minorHAnsi" w:hAnsiTheme="minorHAnsi"/>
      <w:color w:val="328612"/>
      <w:sz w:val="26"/>
      <w:szCs w:val="26"/>
    </w:rPr>
  </w:style>
  <w:style w:type="paragraph" w:customStyle="1" w:styleId="Disclaimer">
    <w:name w:val="Disclaimer"/>
    <w:basedOn w:val="SL-FlLftSgl"/>
    <w:qFormat/>
    <w:rsid w:val="00FA4BE8"/>
    <w:pPr>
      <w:shd w:val="clear" w:color="auto" w:fill="EAF4EF"/>
      <w:spacing w:after="120" w:line="240" w:lineRule="atLeast"/>
    </w:pPr>
    <w:rPr>
      <w:sz w:val="20"/>
      <w:szCs w:val="20"/>
    </w:rPr>
  </w:style>
  <w:style w:type="paragraph" w:styleId="Revision">
    <w:name w:val="Revision"/>
    <w:hidden/>
    <w:uiPriority w:val="99"/>
    <w:semiHidden/>
    <w:rsid w:val="00ED4D67"/>
    <w:rPr>
      <w:rFonts w:ascii="Garamond" w:eastAsia="Times New Roman" w:hAnsi="Garamond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558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3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mpcenternetwork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3Y3PbQ0cuzphWwRTP2jTdRPvWA==">AMUW2mVX8AyMzELicmyY4UH4Qwf5+MJSrI5TCZVt/smmguht3tclVh+51Hd6qX+oFUv/0U2BTrpfvwDnLmdxD9cz6WDrej4Blp2Pf5g2a0cXU3YiOrlm/GA=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ARP/ESSER Financial Monitoring Checklist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ARP/ESSER Financial Monitoring Checklist</dc:title>
  <dc:subject>Monitoring and evaluating ARP/ESSER spending</dc:subject>
  <dc:creator>National Comprehensive Center and Edunomics Lab</dc:creator>
  <cp:keywords>Planning and Evaluating, Compliance Monitoring and Reporting, Financial Management, Strategic Planning</cp:keywords>
  <cp:lastModifiedBy>Laurie Tomasino-Rosales</cp:lastModifiedBy>
  <cp:revision>10</cp:revision>
  <dcterms:created xsi:type="dcterms:W3CDTF">2022-09-30T18:01:00Z</dcterms:created>
  <dcterms:modified xsi:type="dcterms:W3CDTF">2022-09-30T19:30:00Z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